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2111F4">
      <w:pPr>
        <w:pStyle w:val="31"/>
        <w:keepNext/>
        <w:spacing w:after="120" w:line="640" w:lineRule="exact"/>
        <w:ind w:firstLine="0"/>
        <w:jc w:val="center"/>
        <w:rPr>
          <w:rFonts w:hint="eastAsia" w:ascii="方正小标宋简体" w:hAnsi="方正小标宋简体" w:eastAsia="方正小标宋简体" w:cs="方正小标宋简体"/>
          <w:b w:val="0"/>
          <w:bCs/>
          <w:color w:val="000000" w:themeColor="text1"/>
          <w:highlight w:val="none"/>
          <w14:textFill>
            <w14:solidFill>
              <w14:schemeClr w14:val="tx1"/>
            </w14:solidFill>
          </w14:textFill>
        </w:rPr>
      </w:pPr>
      <w:bookmarkStart w:id="0" w:name="_GoBack"/>
      <w:r>
        <w:rPr>
          <w:rFonts w:hint="eastAsia" w:ascii="方正小标宋简体" w:hAnsi="方正小标宋简体" w:eastAsia="方正小标宋简体" w:cs="方正小标宋简体"/>
          <w:b w:val="0"/>
          <w:bCs/>
          <w:i w:val="0"/>
          <w:color w:val="000000" w:themeColor="text1"/>
          <w:sz w:val="44"/>
          <w:highlight w:val="none"/>
          <w14:textFill>
            <w14:solidFill>
              <w14:schemeClr w14:val="tx1"/>
            </w14:solidFill>
          </w14:textFill>
        </w:rPr>
        <w:t>东南大学集成电路“锡芯”专项奖助学金</w:t>
      </w:r>
      <w:r>
        <w:rPr>
          <w:rFonts w:hint="eastAsia" w:ascii="方正小标宋简体" w:hAnsi="方正小标宋简体" w:eastAsia="方正小标宋简体" w:cs="方正小标宋简体"/>
          <w:b w:val="0"/>
          <w:bCs/>
          <w:color w:val="000000" w:themeColor="text1"/>
          <w:highlight w:val="none"/>
          <w14:textFill>
            <w14:solidFill>
              <w14:schemeClr w14:val="tx1"/>
            </w14:solidFill>
          </w14:textFill>
        </w:rPr>
        <w:br w:type="textWrapping"/>
      </w:r>
      <w:r>
        <w:rPr>
          <w:rFonts w:hint="eastAsia" w:ascii="方正小标宋简体" w:hAnsi="方正小标宋简体" w:eastAsia="方正小标宋简体" w:cs="方正小标宋简体"/>
          <w:b w:val="0"/>
          <w:bCs/>
          <w:i w:val="0"/>
          <w:color w:val="000000" w:themeColor="text1"/>
          <w:sz w:val="44"/>
          <w:highlight w:val="none"/>
          <w14:textFill>
            <w14:solidFill>
              <w14:schemeClr w14:val="tx1"/>
            </w14:solidFill>
          </w14:textFill>
        </w:rPr>
        <w:t>评审办法（试行）</w:t>
      </w:r>
    </w:p>
    <w:p w14:paraId="7D7EE86F">
      <w:pPr>
        <w:pStyle w:val="26"/>
        <w:keepNext/>
        <w:spacing w:after="240" w:line="440" w:lineRule="exact"/>
        <w:ind w:firstLine="0"/>
        <w:jc w:val="center"/>
        <w:rPr>
          <w:color w:val="000000" w:themeColor="text1"/>
          <w:highlight w:val="none"/>
          <w14:textFill>
            <w14:solidFill>
              <w14:schemeClr w14:val="tx1"/>
            </w14:solidFill>
          </w14:textFill>
        </w:rPr>
      </w:pPr>
    </w:p>
    <w:p w14:paraId="7F0DBD73">
      <w:pPr>
        <w:pStyle w:val="3"/>
        <w:keepNext/>
        <w:spacing w:before="200" w:after="160"/>
        <w:ind w:firstLine="0"/>
        <w:jc w:val="center"/>
        <w:rPr>
          <w:rFonts w:hint="eastAsia" w:ascii="黑体" w:hAnsi="黑体" w:eastAsia="黑体" w:cs="黑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 xml:space="preserve">第一章  </w:t>
      </w:r>
      <w:r>
        <w:rPr>
          <w:rFonts w:hint="eastAsia" w:ascii="黑体" w:hAnsi="黑体" w:eastAsia="黑体" w:cs="黑体"/>
          <w:b w:val="0"/>
          <w:bCs/>
          <w:color w:val="000000" w:themeColor="text1"/>
          <w:highlight w:val="none"/>
          <w14:textFill>
            <w14:solidFill>
              <w14:schemeClr w14:val="tx1"/>
            </w14:solidFill>
          </w14:textFill>
        </w:rPr>
        <w:t>总 则</w:t>
      </w:r>
    </w:p>
    <w:p w14:paraId="75BE3940">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第一条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为贯彻落实国家集成电路产业发展战略，激励学生勤奋学习、潜心科研、勇于创新，支持家庭经济困难学生完成学业，培养具有家国情怀和国际视野的集成电路领域优秀人才，根据学校本科生、研究生奖助学金管理有关规定及东南大学教育基金会相关要求，结合实际，制定本办法。</w:t>
      </w:r>
    </w:p>
    <w:p w14:paraId="09CF3F1D">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第二条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东南大学集成电路“锡芯”专项奖助学金（以下简称“本专项奖助学金”）包括奖学金和助学金。奖学金用于奖励综合表现优秀的学生，助学金用于资助符合条件的家庭经济困难学生。</w:t>
      </w:r>
    </w:p>
    <w:p w14:paraId="32F10B84">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第三条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本办法适用于在培养计划规定学制内，正式取得东南大学学籍、完成</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学籍</w:t>
      </w:r>
      <w:r>
        <w:rPr>
          <w:rFonts w:hint="eastAsia" w:ascii="方正仿宋_GB2312" w:hAnsi="方正仿宋_GB2312" w:eastAsia="方正仿宋_GB2312" w:cs="方正仿宋_GB2312"/>
          <w:color w:val="000000" w:themeColor="text1"/>
          <w:highlight w:val="none"/>
          <w14:textFill>
            <w14:solidFill>
              <w14:schemeClr w14:val="tx1"/>
            </w14:solidFill>
          </w14:textFill>
        </w:rPr>
        <w:t>注册，并在</w:t>
      </w:r>
      <w:r>
        <w:rPr>
          <w:rFonts w:hint="eastAsia" w:ascii="方正仿宋_GB2312" w:hAnsi="方正仿宋_GB2312" w:eastAsia="方正仿宋_GB2312" w:cs="方正仿宋_GB2312"/>
          <w:color w:val="000000" w:themeColor="text1"/>
          <w:highlight w:val="none"/>
          <w14:textFill>
            <w14:solidFill>
              <w14:schemeClr w14:val="tx1"/>
            </w14:solidFill>
          </w14:textFill>
        </w:rPr>
        <w:t>东南大学集成电路</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学院</w:t>
      </w:r>
      <w:r>
        <w:rPr>
          <w:rFonts w:hint="eastAsia" w:ascii="方正仿宋_GB2312" w:hAnsi="方正仿宋_GB2312" w:eastAsia="方正仿宋_GB2312" w:cs="方正仿宋_GB2312"/>
          <w:color w:val="000000" w:themeColor="text1"/>
          <w:highlight w:val="none"/>
          <w14:textFill>
            <w14:solidFill>
              <w14:schemeClr w14:val="tx1"/>
            </w14:solidFill>
          </w14:textFill>
        </w:rPr>
        <w:t>学习的全日制本科生、硕士研究生和博士研究生，包括符合条件的</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集成电路领军班、物理学类 - 电子科学（强基计划）、</w:t>
      </w:r>
      <w:r>
        <w:rPr>
          <w:rFonts w:hint="eastAsia" w:ascii="方正仿宋_GB2312" w:hAnsi="方正仿宋_GB2312" w:eastAsia="方正仿宋_GB2312" w:cs="方正仿宋_GB2312"/>
          <w:color w:val="000000" w:themeColor="text1"/>
          <w:highlight w:val="none"/>
          <w14:textFill>
            <w14:solidFill>
              <w14:schemeClr w14:val="tx1"/>
            </w14:solidFill>
          </w14:textFill>
        </w:rPr>
        <w:t>吴健雄学院</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集成电路专业方向的</w:t>
      </w:r>
      <w:r>
        <w:rPr>
          <w:rFonts w:hint="eastAsia" w:ascii="方正仿宋_GB2312" w:hAnsi="方正仿宋_GB2312" w:eastAsia="方正仿宋_GB2312" w:cs="方正仿宋_GB2312"/>
          <w:color w:val="000000" w:themeColor="text1"/>
          <w:highlight w:val="none"/>
          <w14:textFill>
            <w14:solidFill>
              <w14:schemeClr w14:val="tx1"/>
            </w14:solidFill>
          </w14:textFill>
        </w:rPr>
        <w:t>学生。休学期间不参加评审。</w:t>
      </w:r>
    </w:p>
    <w:p w14:paraId="239BA51C">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第四条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本专项奖助学金</w:t>
      </w:r>
      <w:r>
        <w:rPr>
          <w:rFonts w:hint="eastAsia" w:ascii="方正仿宋_GB2312" w:hAnsi="方正仿宋_GB2312" w:eastAsia="方正仿宋_GB2312" w:cs="方正仿宋_GB2312"/>
          <w:color w:val="000000" w:themeColor="text1"/>
          <w:highlight w:val="none"/>
          <w14:textFill>
            <w14:solidFill>
              <w14:schemeClr w14:val="tx1"/>
            </w14:solidFill>
          </w14:textFill>
        </w:rPr>
        <w:t>每学年评审一次</w:t>
      </w:r>
      <w:r>
        <w:rPr>
          <w:rFonts w:hint="eastAsia" w:ascii="方正仿宋_GB2312" w:hAnsi="方正仿宋_GB2312" w:eastAsia="方正仿宋_GB2312" w:cs="方正仿宋_GB2312"/>
          <w:color w:val="000000" w:themeColor="text1"/>
          <w:highlight w:val="none"/>
          <w14:textFill>
            <w14:solidFill>
              <w14:schemeClr w14:val="tx1"/>
            </w14:solidFill>
          </w14:textFill>
        </w:rPr>
        <w:t>。评审坚持公开、公平、公正的原则，奖学金实行择优评选，助学金</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依据</w:t>
      </w:r>
      <w:r>
        <w:rPr>
          <w:rFonts w:hint="eastAsia" w:ascii="方正仿宋_GB2312" w:hAnsi="方正仿宋_GB2312" w:eastAsia="方正仿宋_GB2312" w:cs="方正仿宋_GB2312"/>
          <w:color w:val="000000" w:themeColor="text1"/>
          <w:highlight w:val="none"/>
          <w14:textFill>
            <w14:solidFill>
              <w14:schemeClr w14:val="tx1"/>
            </w14:solidFill>
          </w14:textFill>
        </w:rPr>
        <w:t>家庭经济困难认定等级评定。</w:t>
      </w:r>
    </w:p>
    <w:p w14:paraId="0EFF12B6">
      <w:pPr>
        <w:pStyle w:val="3"/>
        <w:keepNext/>
        <w:spacing w:before="200" w:after="160"/>
        <w:ind w:firstLine="0"/>
        <w:jc w:val="center"/>
        <w:rPr>
          <w:rFonts w:hint="eastAsia" w:ascii="黑体" w:hAnsi="黑体" w:eastAsia="黑体" w:cs="黑体"/>
          <w:color w:val="000000" w:themeColor="text1"/>
          <w:highlight w:val="none"/>
          <w:lang w:val="en-US" w:eastAsia="zh-CN"/>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 xml:space="preserve">第二章  </w:t>
      </w:r>
      <w:r>
        <w:rPr>
          <w:rFonts w:hint="eastAsia" w:ascii="黑体" w:hAnsi="黑体" w:eastAsia="黑体" w:cs="黑体"/>
          <w:color w:val="000000" w:themeColor="text1"/>
          <w:highlight w:val="none"/>
          <w:lang w:val="en-US" w:eastAsia="zh-CN"/>
          <w14:textFill>
            <w14:solidFill>
              <w14:schemeClr w14:val="tx1"/>
            </w14:solidFill>
          </w14:textFill>
        </w:rPr>
        <w:t>组织机构</w:t>
      </w:r>
    </w:p>
    <w:p w14:paraId="07861CFF">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第五条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学院奖助学金工作领导小组（以下简称“工作领导小组”）统筹本专项奖助学金评审工作，负责审议年度评审方案、评审标准及拟推荐名单等事项。</w:t>
      </w:r>
    </w:p>
    <w:p w14:paraId="1509758D">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第六条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在工作领导小组领导下，成立本专项奖助学金评审委员会（以下简称“评审委员会”），负责申请组织、材料审核、综合评审、异议核查及材料报送等具体工作。评审委员会由学院相关负责人、教师代表及有关学生工作、教学培养工作人员等组成，具体组成按学校、学院有关规定确定。</w:t>
      </w:r>
    </w:p>
    <w:p w14:paraId="44B2313C">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第七条  </w:t>
      </w:r>
      <w:r>
        <w:rPr>
          <w:rFonts w:hint="eastAsia" w:ascii="方正仿宋_GB2312" w:hAnsi="方正仿宋_GB2312" w:eastAsia="方正仿宋_GB2312" w:cs="方正仿宋_GB2312"/>
          <w:color w:val="000000" w:themeColor="text1"/>
          <w:highlight w:val="none"/>
          <w14:textFill>
            <w14:solidFill>
              <w14:schemeClr w14:val="tx1"/>
            </w14:solidFill>
          </w14:textFill>
        </w:rPr>
        <w:t>评审工作人员应当认真履行职责，客观公正地开展评审。申请材料、评审记录及公示处理材料等按规定归档保存。</w:t>
      </w:r>
    </w:p>
    <w:p w14:paraId="58D70845">
      <w:pPr>
        <w:pStyle w:val="3"/>
        <w:keepNext/>
        <w:spacing w:before="200" w:after="160"/>
        <w:ind w:firstLine="0"/>
        <w:jc w:val="center"/>
        <w:rPr>
          <w:rFonts w:hint="eastAsia" w:ascii="黑体" w:hAnsi="黑体" w:eastAsia="黑体" w:cs="黑体"/>
          <w:color w:val="000000" w:themeColor="text1"/>
          <w:highlight w:val="none"/>
          <w:lang w:val="en-US" w:eastAsia="zh-CN"/>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 xml:space="preserve">第三章  </w:t>
      </w:r>
      <w:r>
        <w:rPr>
          <w:rFonts w:hint="eastAsia" w:ascii="黑体" w:hAnsi="黑体" w:eastAsia="黑体" w:cs="黑体"/>
          <w:color w:val="000000" w:themeColor="text1"/>
          <w:highlight w:val="none"/>
          <w:lang w:val="en-US" w:eastAsia="zh-CN"/>
          <w14:textFill>
            <w14:solidFill>
              <w14:schemeClr w14:val="tx1"/>
            </w14:solidFill>
          </w14:textFill>
        </w:rPr>
        <w:t>奖项设置与标准</w:t>
      </w:r>
    </w:p>
    <w:p w14:paraId="4DFD46C6">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第八条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本专项奖助学金分别设置本科生、硕士研究生和博士研究生奖学金及助学金。助学金分为一等、二等、三等，具体等级</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依据</w:t>
      </w:r>
      <w:r>
        <w:rPr>
          <w:rFonts w:hint="eastAsia" w:ascii="方正仿宋_GB2312" w:hAnsi="方正仿宋_GB2312" w:eastAsia="方正仿宋_GB2312" w:cs="方正仿宋_GB2312"/>
          <w:color w:val="000000" w:themeColor="text1"/>
          <w:highlight w:val="none"/>
          <w14:textFill>
            <w14:solidFill>
              <w14:schemeClr w14:val="tx1"/>
            </w14:solidFill>
          </w14:textFill>
        </w:rPr>
        <w:t>家庭经济困难认定结果确定。</w:t>
      </w:r>
    </w:p>
    <w:p w14:paraId="379CD17A">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第九条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年度经费总额、各培养层次名额、奖励资助标准及助学金各等级名额，根据当年</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资助</w:t>
      </w:r>
      <w:r>
        <w:rPr>
          <w:rFonts w:hint="eastAsia" w:ascii="方正仿宋_GB2312" w:hAnsi="方正仿宋_GB2312" w:eastAsia="方正仿宋_GB2312" w:cs="方正仿宋_GB2312"/>
          <w:color w:val="000000" w:themeColor="text1"/>
          <w:highlight w:val="none"/>
          <w14:textFill>
            <w14:solidFill>
              <w14:schemeClr w14:val="tx1"/>
            </w14:solidFill>
          </w14:textFill>
        </w:rPr>
        <w:t>经费规模、学生人数和家庭经济困难学生情况等统筹拟定，经工作领导小组审议并按学校有关程序核定后，在年度评审通知中公布。年度评审</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通知</w:t>
      </w:r>
      <w:r>
        <w:rPr>
          <w:rFonts w:hint="eastAsia" w:ascii="方正仿宋_GB2312" w:hAnsi="方正仿宋_GB2312" w:eastAsia="方正仿宋_GB2312" w:cs="方正仿宋_GB2312"/>
          <w:color w:val="000000" w:themeColor="text1"/>
          <w:highlight w:val="none"/>
          <w14:textFill>
            <w14:solidFill>
              <w14:schemeClr w14:val="tx1"/>
            </w14:solidFill>
          </w14:textFill>
        </w:rPr>
        <w:t>应当明确经费分配和名额安排</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方案</w:t>
      </w:r>
      <w:r>
        <w:rPr>
          <w:rFonts w:hint="eastAsia" w:ascii="方正仿宋_GB2312" w:hAnsi="方正仿宋_GB2312" w:eastAsia="方正仿宋_GB2312" w:cs="方正仿宋_GB2312"/>
          <w:color w:val="000000" w:themeColor="text1"/>
          <w:highlight w:val="none"/>
          <w14:textFill>
            <w14:solidFill>
              <w14:schemeClr w14:val="tx1"/>
            </w14:solidFill>
          </w14:textFill>
        </w:rPr>
        <w:t>。</w:t>
      </w:r>
    </w:p>
    <w:p w14:paraId="58051271">
      <w:pPr>
        <w:pStyle w:val="3"/>
        <w:keepNext/>
        <w:spacing w:before="200" w:after="160"/>
        <w:ind w:firstLine="0"/>
        <w:jc w:val="center"/>
        <w:rPr>
          <w:rFonts w:hint="eastAsia" w:ascii="黑体" w:hAnsi="黑体" w:eastAsia="黑体" w:cs="黑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第四章  申请条件</w:t>
      </w:r>
    </w:p>
    <w:p w14:paraId="3D365FD4">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第十条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申请本专项奖助学金的学生，除符合本办法第三条规定外，还应当具备下列基本条件：</w:t>
      </w:r>
    </w:p>
    <w:p w14:paraId="69377CEE">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（一）具有中华人民共和国国籍，拥护中国共产党的领导，热爱祖国，遵守宪法和法律，有理想抱负和家国情怀，甘于为国家和人民服务奉献；</w:t>
      </w:r>
    </w:p>
    <w:p w14:paraId="3E045BB1">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（二）遵守学校各项规章制度，在校期间未受过处分；</w:t>
      </w:r>
    </w:p>
    <w:p w14:paraId="3D4BCE40">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（三）践行社会主义核心价值观，具有良好的道德品质和团队协作精神，关心集体，积极参加公益活动或志愿服务，具有社会责任感；</w:t>
      </w:r>
    </w:p>
    <w:p w14:paraId="2BAD86AE">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（四）</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申请奖学金的学生，须在</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集成电路学院</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学习满一学年，且学习认真，学业综合表现优良。</w:t>
      </w:r>
      <w:r>
        <w:rPr>
          <w:rFonts w:hint="eastAsia" w:ascii="方正仿宋_GB2312" w:hAnsi="方正仿宋_GB2312" w:eastAsia="方正仿宋_GB2312" w:cs="方正仿宋_GB2312"/>
          <w:color w:val="000000" w:themeColor="text1"/>
          <w:highlight w:val="none"/>
          <w14:textFill>
            <w14:solidFill>
              <w14:schemeClr w14:val="tx1"/>
            </w14:solidFill>
          </w14:textFill>
        </w:rPr>
        <w:t>研究生学习成绩的认定口径，按照学院现行研究生奖助学金评审办法有关规定执行。</w:t>
      </w:r>
    </w:p>
    <w:p w14:paraId="51B48833">
      <w:pPr>
        <w:spacing w:after="40"/>
        <w:ind w:left="0" w:leftChars="0" w:firstLine="0" w:firstLineChars="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第十一条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奖学金在符合基本条件的申请人中择优评选。在专业学习、科学研究、学术竞赛、创新实践、社会服务等方面表现突出的学生优先。</w:t>
      </w:r>
      <w:r>
        <w:rPr>
          <w:rFonts w:hint="eastAsia" w:ascii="方正仿宋_GB2312" w:hAnsi="方正仿宋_GB2312" w:eastAsia="方正仿宋_GB2312" w:cs="方正仿宋_GB2312"/>
          <w:color w:val="000000" w:themeColor="text1"/>
          <w:highlight w:val="none"/>
          <w14:textFill>
            <w14:solidFill>
              <w14:schemeClr w14:val="tx1"/>
            </w14:solidFill>
          </w14:textFill>
        </w:rPr>
        <w:t>具体评定方式应当在年度评审通知中明确。</w:t>
      </w:r>
      <w:r>
        <w:rPr>
          <w:rFonts w:hint="eastAsia" w:ascii="方正仿宋_GB2312" w:hAnsi="方正仿宋_GB2312" w:eastAsia="方正仿宋_GB2312" w:cs="方正仿宋_GB2312"/>
          <w:color w:val="000000" w:themeColor="text1"/>
          <w:highlight w:val="none"/>
          <w14:textFill>
            <w14:solidFill>
              <w14:schemeClr w14:val="tx1"/>
            </w14:solidFill>
          </w14:textFill>
        </w:rPr>
        <w:t>申请人应当如实说明本学年已获评、已取得推荐资格及正在申报的其他奖助学金情况；涉及成果申报的，应当按规定提交成果清单及使用情况说明。</w:t>
      </w:r>
    </w:p>
    <w:p w14:paraId="40AB9849">
      <w:pPr>
        <w:keepNext w:val="0"/>
        <w:keepLines w:val="0"/>
        <w:pageBreakBefore w:val="0"/>
        <w:widowControl/>
        <w:kinsoku/>
        <w:wordWrap/>
        <w:overflowPunct/>
        <w:topLinePunct w:val="0"/>
        <w:autoSpaceDE/>
        <w:autoSpaceDN/>
        <w:bidi w:val="0"/>
        <w:adjustRightInd/>
        <w:snapToGrid/>
        <w:spacing w:after="40"/>
        <w:ind w:left="0" w:leftChars="0" w:firstLine="640" w:firstLineChars="200"/>
        <w:textAlignment w:val="auto"/>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在学院集中奖助申报周期内，申请人如已取得任一奖项向上级主管部门择优推荐资格，同批次评审周期内不再获得本专项奖学金推荐资格。本专项奖学金申报实行成果不复用制度：同一成果一经用于本院国家奖学金、至善奖学金、教</w:t>
      </w:r>
      <w:r>
        <w:rPr>
          <w:rFonts w:hint="eastAsia" w:ascii="方正仿宋_GB2312" w:hAnsi="方正仿宋_GB2312" w:eastAsia="方正仿宋_GB2312" w:cs="方正仿宋_GB2312"/>
          <w:color w:val="000000" w:themeColor="text1"/>
          <w:highlight w:val="none"/>
          <w14:textFill>
            <w14:solidFill>
              <w14:schemeClr w14:val="tx1"/>
            </w14:solidFill>
          </w14:textFill>
        </w:rPr>
        <w:t>育基金会奖助学金及其他院内专项奖助学金任一奖项评审获评后，不得重复用于本专项奖学金申报。本科生申请本专项奖学金参照上述成果不复用原则执行。</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国家助学金、</w:t>
      </w:r>
      <w:r>
        <w:rPr>
          <w:rFonts w:hint="eastAsia" w:ascii="方正仿宋_GB2312" w:hAnsi="方正仿宋_GB2312" w:eastAsia="方正仿宋_GB2312" w:cs="方正仿宋_GB2312"/>
          <w:color w:val="000000" w:themeColor="text1"/>
          <w:highlight w:val="none"/>
          <w14:textFill>
            <w14:solidFill>
              <w14:schemeClr w14:val="tx1"/>
            </w14:solidFill>
          </w14:textFill>
        </w:rPr>
        <w:t>研究生学业奖学金、博士新生奖学金不受本成果复用限制。</w:t>
      </w:r>
    </w:p>
    <w:p w14:paraId="0439A40B">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p>
    <w:p w14:paraId="1D872A35">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第十二条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申请助学金的学生，应当经学校认定为本学年家庭经济困难学生。评审参考申请人</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在评审当学年</w:t>
      </w:r>
      <w:r>
        <w:rPr>
          <w:rFonts w:hint="eastAsia" w:ascii="方正仿宋_GB2312" w:hAnsi="方正仿宋_GB2312" w:eastAsia="方正仿宋_GB2312" w:cs="方正仿宋_GB2312"/>
          <w:color w:val="000000" w:themeColor="text1"/>
          <w:highlight w:val="none"/>
          <w14:textFill>
            <w14:solidFill>
              <w14:schemeClr w14:val="tx1"/>
            </w14:solidFill>
          </w14:textFill>
        </w:rPr>
        <w:t>的家庭经济困难认定等级。</w:t>
      </w:r>
    </w:p>
    <w:p w14:paraId="15AF9F7A">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第十三条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助学金申请须依据</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当学年</w:t>
      </w:r>
      <w:r>
        <w:rPr>
          <w:rFonts w:hint="eastAsia" w:ascii="方正仿宋_GB2312" w:hAnsi="方正仿宋_GB2312" w:eastAsia="方正仿宋_GB2312" w:cs="方正仿宋_GB2312"/>
          <w:color w:val="000000" w:themeColor="text1"/>
          <w:highlight w:val="none"/>
          <w14:textFill>
            <w14:solidFill>
              <w14:schemeClr w14:val="tx1"/>
            </w14:solidFill>
          </w14:textFill>
        </w:rPr>
        <w:t>家庭经济困难认定结果进行，具体年度评审方案</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和资助金额</w:t>
      </w:r>
      <w:r>
        <w:rPr>
          <w:rFonts w:hint="eastAsia" w:ascii="方正仿宋_GB2312" w:hAnsi="方正仿宋_GB2312" w:eastAsia="方正仿宋_GB2312" w:cs="方正仿宋_GB2312"/>
          <w:color w:val="000000" w:themeColor="text1"/>
          <w:highlight w:val="none"/>
          <w14:textFill>
            <w14:solidFill>
              <w14:schemeClr w14:val="tx1"/>
            </w14:solidFill>
          </w14:textFill>
        </w:rPr>
        <w:t>在申报前公布。</w:t>
      </w:r>
    </w:p>
    <w:p w14:paraId="6E0C6919">
      <w:pPr>
        <w:spacing w:after="40"/>
        <w:ind w:firstLine="0"/>
        <w:rPr>
          <w:rFonts w:hint="eastAsia" w:ascii="方正仿宋_GB2312" w:hAnsi="方正仿宋_GB2312" w:eastAsia="宋体" w:cs="方正仿宋_GB2312"/>
          <w:color w:val="000000" w:themeColor="text1"/>
          <w:highlight w:val="none"/>
          <w:lang w:eastAsia="zh-CN"/>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第十四条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本专项奖助学金</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中的奖学金的兼容性，参照东南大学教育基金会奖助学金的相应规定执行；本专项助学金可与其他助学金兼得，申报本专项奖学金的成果使用、同批次多奖项推荐资格管理执行集成电路学院奖助学金相关管理规定。</w:t>
      </w:r>
    </w:p>
    <w:p w14:paraId="328734AD">
      <w:pPr>
        <w:pStyle w:val="3"/>
        <w:keepNext/>
        <w:spacing w:before="200" w:after="160"/>
        <w:ind w:firstLine="0"/>
        <w:jc w:val="center"/>
        <w:rPr>
          <w:rFonts w:hint="eastAsia" w:ascii="黑体" w:hAnsi="黑体" w:eastAsia="黑体" w:cs="黑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第五章  评审程序</w:t>
      </w:r>
    </w:p>
    <w:p w14:paraId="7E834061">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第十五条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发布通知。依据本办法和经审定的年度评审方案，发布评审工作通知，明确申请条件、名额标准、评定方式、申报时间、材料要求、成果认定截止时间及受理渠道等事项。</w:t>
      </w:r>
      <w:r>
        <w:rPr>
          <w:rFonts w:hint="eastAsia" w:ascii="方正仿宋_GB2312" w:hAnsi="方正仿宋_GB2312" w:eastAsia="方正仿宋_GB2312" w:cs="方正仿宋_GB2312"/>
          <w:color w:val="000000" w:themeColor="text1"/>
          <w:highlight w:val="none"/>
          <w14:textFill>
            <w14:solidFill>
              <w14:schemeClr w14:val="tx1"/>
            </w14:solidFill>
          </w14:textFill>
        </w:rPr>
        <w:t>具体申报日期、提交地点和当年评审批次安排由年度通知明确。</w:t>
      </w:r>
    </w:p>
    <w:p w14:paraId="737DF4A9">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第十六条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个人申请。本</w:t>
      </w:r>
      <w:r>
        <w:rPr>
          <w:rFonts w:hint="eastAsia" w:ascii="方正仿宋_GB2312" w:hAnsi="方正仿宋_GB2312" w:eastAsia="方正仿宋_GB2312" w:cs="方正仿宋_GB2312"/>
          <w:color w:val="000000" w:themeColor="text1"/>
          <w:highlight w:val="none"/>
          <w14:textFill>
            <w14:solidFill>
              <w14:schemeClr w14:val="tx1"/>
            </w14:solidFill>
          </w14:textFill>
        </w:rPr>
        <w:t>专项助学金由学院依据学校家庭经济困难学生认定结果，核定符合资助条件的学生名单及资助档次</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并公布</w:t>
      </w:r>
      <w:r>
        <w:rPr>
          <w:rFonts w:hint="eastAsia" w:ascii="方正仿宋_GB2312" w:hAnsi="方正仿宋_GB2312" w:eastAsia="方正仿宋_GB2312" w:cs="方正仿宋_GB2312"/>
          <w:color w:val="000000" w:themeColor="text1"/>
          <w:sz w:val="24"/>
          <w:szCs w:val="24"/>
          <w:highlight w:val="none"/>
          <w:lang w:val="en-US" w:eastAsia="zh-CN"/>
          <w14:textFill>
            <w14:solidFill>
              <w14:schemeClr w14:val="tx1"/>
            </w14:solidFill>
          </w14:textFill>
        </w:rPr>
        <w:t>。</w:t>
      </w:r>
      <w:r>
        <w:rPr>
          <w:rFonts w:hint="eastAsia" w:ascii="方正仿宋_GB2312" w:hAnsi="方正仿宋_GB2312" w:eastAsia="方正仿宋_GB2312" w:cs="方正仿宋_GB2312"/>
          <w:color w:val="000000" w:themeColor="text1"/>
          <w:highlight w:val="none"/>
          <w14:textFill>
            <w14:solidFill>
              <w14:schemeClr w14:val="tx1"/>
            </w14:solidFill>
          </w14:textFill>
        </w:rPr>
        <w:t>本专项</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奖</w:t>
      </w:r>
      <w:r>
        <w:rPr>
          <w:rFonts w:hint="eastAsia" w:ascii="方正仿宋_GB2312" w:hAnsi="方正仿宋_GB2312" w:eastAsia="方正仿宋_GB2312" w:cs="方正仿宋_GB2312"/>
          <w:color w:val="000000" w:themeColor="text1"/>
          <w:highlight w:val="none"/>
          <w14:textFill>
            <w14:solidFill>
              <w14:schemeClr w14:val="tx1"/>
            </w14:solidFill>
          </w14:textFill>
        </w:rPr>
        <w:t>学金符合条件的学生在规定时间内提出申请，按要求填写申请表，提交相应证明材料。</w:t>
      </w:r>
      <w:r>
        <w:rPr>
          <w:rFonts w:hint="eastAsia" w:ascii="方正仿宋_GB2312" w:hAnsi="方正仿宋_GB2312" w:eastAsia="方正仿宋_GB2312" w:cs="方正仿宋_GB2312"/>
          <w:color w:val="000000" w:themeColor="text1"/>
          <w:highlight w:val="none"/>
          <w14:textFill>
            <w14:solidFill>
              <w14:schemeClr w14:val="tx1"/>
            </w14:solidFill>
          </w14:textFill>
        </w:rPr>
        <w:t>材料包括：</w:t>
      </w:r>
    </w:p>
    <w:p w14:paraId="7C4F578B">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（一）本专项奖学金申请表；</w:t>
      </w:r>
    </w:p>
    <w:p w14:paraId="22560FA7">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（二）学习成绩单，列明本次申报所使用全部成果的成果清单（申请人承诺成果不存在院内重复申报复用），以及相关的科研成果、获奖证书、社会服务等证明材料；</w:t>
      </w:r>
    </w:p>
    <w:p w14:paraId="435B6805">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（三）年度评审通知要求的其他材料。</w:t>
      </w:r>
    </w:p>
    <w:p w14:paraId="18A941D2">
      <w:pPr>
        <w:spacing w:after="4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申请人应当对材料的真实性、完整性负责，按要求提供原件核验并提交复印件或电子材料。</w:t>
      </w:r>
    </w:p>
    <w:p w14:paraId="4E1CD9DF">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第十七条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资格与材料审核。</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学院</w:t>
      </w:r>
      <w:r>
        <w:rPr>
          <w:rFonts w:hint="eastAsia" w:ascii="方正仿宋_GB2312" w:hAnsi="方正仿宋_GB2312" w:eastAsia="方正仿宋_GB2312" w:cs="方正仿宋_GB2312"/>
          <w:color w:val="000000" w:themeColor="text1"/>
          <w:highlight w:val="none"/>
          <w14:textFill>
            <w14:solidFill>
              <w14:schemeClr w14:val="tx1"/>
            </w14:solidFill>
          </w14:textFill>
        </w:rPr>
        <w:t>对申请人的学籍、注册、学习成绩、纪律表现及有关证明材料进行审核，评审委员会组织复核。</w:t>
      </w:r>
      <w:r>
        <w:rPr>
          <w:rFonts w:hint="eastAsia" w:ascii="方正仿宋_GB2312" w:hAnsi="方正仿宋_GB2312" w:eastAsia="方正仿宋_GB2312" w:cs="方正仿宋_GB2312"/>
          <w:color w:val="000000" w:themeColor="text1"/>
          <w:highlight w:val="none"/>
          <w14:textFill>
            <w14:solidFill>
              <w14:schemeClr w14:val="tx1"/>
            </w14:solidFill>
          </w14:textFill>
        </w:rPr>
        <w:t>助学金申请重点核查家庭经济困难认定情况；涉及成果申报的，按适用规定核查成果使用情况。</w:t>
      </w:r>
    </w:p>
    <w:p w14:paraId="5067E59C">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第十八条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综合评审。评审委员会依据本办法及年度评审方案，形成拟推荐名单及奖励资助等级。</w:t>
      </w:r>
    </w:p>
    <w:p w14:paraId="70185F13">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第十九条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学院公示。经工作领导小组审议的拟推荐名单及奖励资助等级，</w:t>
      </w:r>
      <w:r>
        <w:rPr>
          <w:rFonts w:hint="eastAsia" w:ascii="方正仿宋_GB2312" w:hAnsi="方正仿宋_GB2312" w:eastAsia="方正仿宋_GB2312" w:cs="方正仿宋_GB2312"/>
          <w:color w:val="000000" w:themeColor="text1"/>
          <w:highlight w:val="none"/>
          <w14:textFill>
            <w14:solidFill>
              <w14:schemeClr w14:val="tx1"/>
            </w14:solidFill>
          </w14:textFill>
        </w:rPr>
        <w:t>在学院网站</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或公告栏</w:t>
      </w:r>
      <w:r>
        <w:rPr>
          <w:rFonts w:hint="eastAsia" w:ascii="方正仿宋_GB2312" w:hAnsi="方正仿宋_GB2312" w:eastAsia="方正仿宋_GB2312" w:cs="方正仿宋_GB2312"/>
          <w:color w:val="000000" w:themeColor="text1"/>
          <w:highlight w:val="none"/>
          <w14:textFill>
            <w14:solidFill>
              <w14:schemeClr w14:val="tx1"/>
            </w14:solidFill>
          </w14:textFill>
        </w:rPr>
        <w:t>等渠道公示，公示期为</w:t>
      </w:r>
      <w:r>
        <w:rPr>
          <w:rFonts w:hint="eastAsia" w:ascii="方正仿宋_GB2312" w:hAnsi="方正仿宋_GB2312" w:eastAsia="方正仿宋_GB2312" w:cs="方正仿宋_GB2312"/>
          <w:color w:val="000000" w:themeColor="text1"/>
          <w:highlight w:val="none"/>
          <w:lang w:eastAsia="zh-CN"/>
          <w14:textFill>
            <w14:solidFill>
              <w14:schemeClr w14:val="tx1"/>
            </w14:solidFill>
          </w14:textFill>
        </w:rPr>
        <w:t>不少于三</w:t>
      </w:r>
      <w:r>
        <w:rPr>
          <w:rFonts w:hint="eastAsia" w:ascii="方正仿宋_GB2312" w:hAnsi="方正仿宋_GB2312" w:eastAsia="方正仿宋_GB2312" w:cs="方正仿宋_GB2312"/>
          <w:color w:val="000000" w:themeColor="text1"/>
          <w:highlight w:val="none"/>
          <w14:textFill>
            <w14:solidFill>
              <w14:schemeClr w14:val="tx1"/>
            </w14:solidFill>
          </w14:textFill>
        </w:rPr>
        <w:t>个工作日。助学金公示应当注意保护学生个人隐私。</w:t>
      </w:r>
    </w:p>
    <w:p w14:paraId="3D09BA4A">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第二十条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异议处理。对评审结果有异议的，可在公示期内通过通知公布的渠道向评审委员会提出书面异议或申诉。评审委员会应当核查有关情况，报工作领导小组研究，并在收到异议或申诉后五个工作日内予以答复。涉及拟推荐名单调整的，调整结果应当按规定重新公示。</w:t>
      </w:r>
    </w:p>
    <w:p w14:paraId="100A5F14">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第二十一条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报送与发放。公示期满且异议处理完毕后，将拟推荐名单及相关材料按要求报送学校有关部门审核。经审核确定的奖助学金按学校有关规定发放，</w:t>
      </w:r>
      <w:r>
        <w:rPr>
          <w:rFonts w:hint="eastAsia" w:ascii="方正仿宋_GB2312" w:hAnsi="方正仿宋_GB2312" w:eastAsia="方正仿宋_GB2312" w:cs="方正仿宋_GB2312"/>
          <w:color w:val="000000" w:themeColor="text1"/>
          <w:highlight w:val="none"/>
          <w14:textFill>
            <w14:solidFill>
              <w14:schemeClr w14:val="tx1"/>
            </w14:solidFill>
          </w14:textFill>
        </w:rPr>
        <w:t>证书由集成电路学院制作发放。</w:t>
      </w:r>
    </w:p>
    <w:p w14:paraId="0A023C64">
      <w:pPr>
        <w:pStyle w:val="3"/>
        <w:keepNext/>
        <w:spacing w:before="200" w:after="160"/>
        <w:ind w:firstLine="0"/>
        <w:jc w:val="center"/>
        <w:rPr>
          <w:rFonts w:hint="eastAsia" w:ascii="黑体" w:hAnsi="黑体" w:eastAsia="黑体" w:cs="黑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第六章  监督与管理</w:t>
      </w:r>
    </w:p>
    <w:p w14:paraId="2F77AD57">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第二十二条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本专项奖助学金评审接受师生监督。评审工作人员应当严格执行评审条件和程序，妥善保管申请材料，不得泄露依法依规应当保密的信息。对评审工作中的违规行为，依照学校有关规定处理。</w:t>
      </w:r>
    </w:p>
    <w:p w14:paraId="7FF65B12">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第二十三条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申请人在参评过程中有弄虚作假、违反学术纪律、成果重复申报复用或其他违反成果使用规定等行为的，经核实，按照有关规定取消相应评审资格，并依据《东南大学学生违纪处分条例》等有关规定处理。</w:t>
      </w:r>
    </w:p>
    <w:p w14:paraId="4755C101">
      <w:pPr>
        <w:pStyle w:val="3"/>
        <w:keepNext/>
        <w:spacing w:before="200" w:after="160"/>
        <w:ind w:firstLine="0"/>
        <w:jc w:val="center"/>
        <w:rPr>
          <w:rFonts w:hint="eastAsia" w:ascii="黑体" w:hAnsi="黑体" w:eastAsia="黑体" w:cs="黑体"/>
          <w:color w:val="000000" w:themeColor="text1"/>
          <w:highlight w:val="none"/>
          <w14:textFill>
            <w14:solidFill>
              <w14:schemeClr w14:val="tx1"/>
            </w14:solidFill>
          </w14:textFill>
        </w:rPr>
      </w:pPr>
      <w:r>
        <w:rPr>
          <w:rFonts w:hint="eastAsia" w:ascii="黑体" w:hAnsi="黑体" w:eastAsia="黑体" w:cs="黑体"/>
          <w:color w:val="000000" w:themeColor="text1"/>
          <w:highlight w:val="none"/>
          <w14:textFill>
            <w14:solidFill>
              <w14:schemeClr w14:val="tx1"/>
            </w14:solidFill>
          </w14:textFill>
        </w:rPr>
        <w:t>第</w:t>
      </w:r>
      <w:r>
        <w:rPr>
          <w:rFonts w:hint="eastAsia" w:ascii="黑体" w:hAnsi="黑体" w:eastAsia="黑体" w:cs="黑体"/>
          <w:color w:val="000000" w:themeColor="text1"/>
          <w:highlight w:val="none"/>
          <w:lang w:val="en-US" w:eastAsia="zh-CN"/>
          <w14:textFill>
            <w14:solidFill>
              <w14:schemeClr w14:val="tx1"/>
            </w14:solidFill>
          </w14:textFill>
        </w:rPr>
        <w:t>七</w:t>
      </w:r>
      <w:r>
        <w:rPr>
          <w:rFonts w:hint="eastAsia" w:ascii="黑体" w:hAnsi="黑体" w:eastAsia="黑体" w:cs="黑体"/>
          <w:color w:val="000000" w:themeColor="text1"/>
          <w:highlight w:val="none"/>
          <w14:textFill>
            <w14:solidFill>
              <w14:schemeClr w14:val="tx1"/>
            </w14:solidFill>
          </w14:textFill>
        </w:rPr>
        <w:t>章  附  则</w:t>
      </w:r>
    </w:p>
    <w:p w14:paraId="66CC4626">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第二十四条</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本办法未尽事宜，</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按照</w:t>
      </w:r>
      <w:r>
        <w:rPr>
          <w:rFonts w:hint="eastAsia" w:ascii="方正仿宋_GB2312" w:hAnsi="方正仿宋_GB2312" w:eastAsia="方正仿宋_GB2312" w:cs="方正仿宋_GB2312"/>
          <w:color w:val="000000" w:themeColor="text1"/>
          <w:highlight w:val="none"/>
          <w14:textFill>
            <w14:solidFill>
              <w14:schemeClr w14:val="tx1"/>
            </w14:solidFill>
          </w14:textFill>
        </w:rPr>
        <w:t>学校、东南大学教育基金会以及集成电路学院奖助学金相关管理规定执行。学校、学院有关管理办法及标准调整的，以最新规定为准。</w:t>
      </w:r>
    </w:p>
    <w:p w14:paraId="15E8E128">
      <w:pPr>
        <w:spacing w:after="40"/>
        <w:ind w:firstLine="0"/>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黑体" w:hAnsi="黑体" w:eastAsia="黑体" w:cs="黑体"/>
          <w:b w:val="0"/>
          <w:bCs/>
          <w:color w:val="000000" w:themeColor="text1"/>
          <w:sz w:val="32"/>
          <w:szCs w:val="28"/>
          <w:highlight w:val="none"/>
          <w:lang w:val="zh-CN" w:eastAsia="zh-CN" w:bidi="ar-SA"/>
          <w14:textFill>
            <w14:solidFill>
              <w14:schemeClr w14:val="tx1"/>
            </w14:solidFill>
          </w14:textFill>
        </w:rPr>
        <w:t xml:space="preserve">第二十五条 </w:t>
      </w:r>
      <w:r>
        <w:rPr>
          <w:rFonts w:hint="eastAsia" w:ascii="方正仿宋_GB2312" w:hAnsi="方正仿宋_GB2312" w:eastAsia="方正仿宋_GB2312" w:cs="方正仿宋_GB2312"/>
          <w:b w:val="0"/>
          <w:i w:val="0"/>
          <w:color w:val="000000" w:themeColor="text1"/>
          <w:sz w:val="32"/>
          <w:highlight w:val="none"/>
          <w14:textFill>
            <w14:solidFill>
              <w14:schemeClr w14:val="tx1"/>
            </w14:solidFill>
          </w14:textFill>
        </w:rPr>
        <w:t xml:space="preserve"> </w:t>
      </w:r>
      <w:r>
        <w:rPr>
          <w:rFonts w:hint="eastAsia" w:ascii="方正仿宋_GB2312" w:hAnsi="方正仿宋_GB2312" w:eastAsia="方正仿宋_GB2312" w:cs="方正仿宋_GB2312"/>
          <w:color w:val="000000" w:themeColor="text1"/>
          <w:highlight w:val="none"/>
          <w14:textFill>
            <w14:solidFill>
              <w14:schemeClr w14:val="tx1"/>
            </w14:solidFill>
          </w14:textFill>
        </w:rPr>
        <w:t>本办法经</w:t>
      </w: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集成电路学院奖助学金</w:t>
      </w:r>
      <w:r>
        <w:rPr>
          <w:rFonts w:hint="eastAsia" w:ascii="方正仿宋_GB2312" w:hAnsi="方正仿宋_GB2312" w:eastAsia="方正仿宋_GB2312" w:cs="方正仿宋_GB2312"/>
          <w:color w:val="000000" w:themeColor="text1"/>
          <w:highlight w:val="none"/>
          <w14:textFill>
            <w14:solidFill>
              <w14:schemeClr w14:val="tx1"/>
            </w14:solidFill>
          </w14:textFill>
        </w:rPr>
        <w:t>工作领导小组审议通过并按学校有关程序核定后，自发布之日起施行。</w:t>
      </w:r>
    </w:p>
    <w:p w14:paraId="417FC692">
      <w:pPr>
        <w:keepNext w:val="0"/>
        <w:spacing w:before="160"/>
        <w:ind w:firstLine="0"/>
        <w:jc w:val="right"/>
        <w:rPr>
          <w:rFonts w:hint="eastAsia" w:ascii="方正仿宋_GB2312" w:hAnsi="方正仿宋_GB2312" w:eastAsia="方正仿宋_GB2312" w:cs="方正仿宋_GB2312"/>
          <w:color w:val="000000" w:themeColor="text1"/>
          <w:highlight w:val="none"/>
          <w14:textFill>
            <w14:solidFill>
              <w14:schemeClr w14:val="tx1"/>
            </w14:solidFill>
          </w14:textFill>
        </w:rPr>
      </w:pPr>
      <w:r>
        <w:rPr>
          <w:rFonts w:hint="eastAsia" w:ascii="方正仿宋_GB2312" w:hAnsi="方正仿宋_GB2312" w:eastAsia="方正仿宋_GB2312" w:cs="方正仿宋_GB2312"/>
          <w:color w:val="000000" w:themeColor="text1"/>
          <w:highlight w:val="none"/>
          <w14:textFill>
            <w14:solidFill>
              <w14:schemeClr w14:val="tx1"/>
            </w14:solidFill>
          </w14:textFill>
        </w:rPr>
        <w:t>东南大学集成电路学院</w:t>
      </w:r>
    </w:p>
    <w:p w14:paraId="3FD04B1B">
      <w:pPr>
        <w:keepNext w:val="0"/>
        <w:wordWrap w:val="0"/>
        <w:spacing w:before="160"/>
        <w:ind w:firstLine="0"/>
        <w:jc w:val="right"/>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pPr>
      <w:r>
        <w:rPr>
          <w:rFonts w:hint="eastAsia" w:ascii="方正仿宋_GB2312" w:hAnsi="方正仿宋_GB2312" w:eastAsia="方正仿宋_GB2312" w:cs="方正仿宋_GB2312"/>
          <w:color w:val="000000" w:themeColor="text1"/>
          <w:highlight w:val="none"/>
          <w:lang w:val="en-US" w:eastAsia="zh-CN"/>
          <w14:textFill>
            <w14:solidFill>
              <w14:schemeClr w14:val="tx1"/>
            </w14:solidFill>
          </w14:textFill>
        </w:rPr>
        <w:t>2026年10月19日</w:t>
      </w:r>
    </w:p>
    <w:p w14:paraId="3E34325D">
      <w:pPr>
        <w:spacing w:after="0" w:line="420" w:lineRule="exact"/>
        <w:ind w:firstLine="520"/>
        <w:rPr>
          <w:color w:val="000000" w:themeColor="text1"/>
          <w:highlight w:val="none"/>
          <w14:textFill>
            <w14:solidFill>
              <w14:schemeClr w14:val="tx1"/>
            </w14:solidFill>
          </w14:textFill>
        </w:rPr>
      </w:pPr>
    </w:p>
    <w:bookmarkEnd w:id="0"/>
    <w:sectPr>
      <w:footerReference r:id="rId5" w:type="default"/>
      <w:pgSz w:w="11906" w:h="16838"/>
      <w:pgMar w:top="1531" w:right="1701" w:bottom="1417" w:left="1701" w:header="737" w:footer="737"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5011958-D897-4D76-9050-3D00E1AF0E0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方正小标宋简体">
    <w:panose1 w:val="02000000000000000000"/>
    <w:charset w:val="86"/>
    <w:family w:val="auto"/>
    <w:pitch w:val="default"/>
    <w:sig w:usb0="00000001" w:usb1="08000000" w:usb2="00000000" w:usb3="00000000" w:csb0="00040000" w:csb1="00000000"/>
    <w:embedRegular r:id="rId2" w:fontKey="{C8C8C2F8-097C-4D3E-8F56-DE3D7F8E5074}"/>
  </w:font>
  <w:font w:name="方正仿宋_GB2312">
    <w:panose1 w:val="02000000000000000000"/>
    <w:charset w:val="86"/>
    <w:family w:val="auto"/>
    <w:pitch w:val="default"/>
    <w:sig w:usb0="A00002BF" w:usb1="184F6CFA" w:usb2="00000012" w:usb3="00000000" w:csb0="00040001" w:csb1="00000000"/>
    <w:embedRegular r:id="rId3" w:fontKey="{6887586C-4B46-474E-965C-0E526B1C388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2A7F9">
    <w:pPr>
      <w:pStyle w:val="24"/>
      <w:spacing w:line="320" w:lineRule="exact"/>
      <w:ind w:firstLine="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singleLevel"/>
    <w:tmpl w:val="00000000"/>
    <w:lvl w:ilvl="0" w:tentative="0">
      <w:start w:val="1"/>
      <w:numFmt w:val="decimal"/>
      <w:pStyle w:val="20"/>
      <w:lvlText w:val="%1."/>
      <w:lvlJc w:val="left"/>
      <w:pPr>
        <w:tabs>
          <w:tab w:val="left" w:pos="1080"/>
        </w:tabs>
        <w:ind w:left="1080" w:hanging="360"/>
      </w:pPr>
    </w:lvl>
  </w:abstractNum>
  <w:abstractNum w:abstractNumId="1">
    <w:nsid w:val="00000001"/>
    <w:multiLevelType w:val="singleLevel"/>
    <w:tmpl w:val="00000001"/>
    <w:lvl w:ilvl="0" w:tentative="0">
      <w:start w:val="1"/>
      <w:numFmt w:val="decimal"/>
      <w:pStyle w:val="13"/>
      <w:lvlText w:val="%1."/>
      <w:lvlJc w:val="left"/>
      <w:pPr>
        <w:tabs>
          <w:tab w:val="left" w:pos="720"/>
        </w:tabs>
        <w:ind w:left="720" w:hanging="360"/>
      </w:pPr>
    </w:lvl>
  </w:abstractNum>
  <w:abstractNum w:abstractNumId="2">
    <w:nsid w:val="00000002"/>
    <w:multiLevelType w:val="singleLevel"/>
    <w:tmpl w:val="0000000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00000003"/>
    <w:multiLevelType w:val="singleLevel"/>
    <w:tmpl w:val="0000000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00000004"/>
    <w:multiLevelType w:val="singleLevel"/>
    <w:tmpl w:val="00000004"/>
    <w:lvl w:ilvl="0" w:tentative="0">
      <w:start w:val="1"/>
      <w:numFmt w:val="decimal"/>
      <w:pStyle w:val="14"/>
      <w:lvlText w:val="%1."/>
      <w:lvlJc w:val="left"/>
      <w:pPr>
        <w:tabs>
          <w:tab w:val="left" w:pos="360"/>
        </w:tabs>
        <w:ind w:left="360" w:hanging="360"/>
      </w:pPr>
    </w:lvl>
  </w:abstractNum>
  <w:abstractNum w:abstractNumId="5">
    <w:nsid w:val="00000005"/>
    <w:multiLevelType w:val="singleLevel"/>
    <w:tmpl w:val="00000005"/>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E5D71"/>
    <w:rsid w:val="01D57418"/>
    <w:rsid w:val="131232E2"/>
    <w:rsid w:val="18FF04F5"/>
    <w:rsid w:val="2F715851"/>
    <w:rsid w:val="32F126BE"/>
    <w:rsid w:val="33835B53"/>
    <w:rsid w:val="36C45C46"/>
    <w:rsid w:val="3C51545A"/>
    <w:rsid w:val="48F3690F"/>
    <w:rsid w:val="51984A67"/>
    <w:rsid w:val="53595929"/>
    <w:rsid w:val="67AF0D01"/>
    <w:rsid w:val="75A93EA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nhideWhenUsed="0" w:uiPriority="99" w:semiHidden="0" w:name="macro"/>
    <w:lsdException w:unhideWhenUsed="0" w:uiPriority="0" w:semiHidden="0" w:name="toa heading"/>
    <w:lsdException w:qFormat="1" w:unhideWhenUsed="0" w:uiPriority="99" w:semiHidden="0" w:name="List"/>
    <w:lsdException w:qFormat="1" w:unhideWhenUsed="0" w:uiPriority="99" w:semiHidden="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nhideWhenUsed="0" w:uiPriority="0" w:semiHidden="0" w:name="List 4"/>
    <w:lsdException w:unhideWhenUsed="0" w:uiPriority="0" w:semiHidden="0" w:name="List 5"/>
    <w:lsdException w:qFormat="1" w:unhideWhenUsed="0" w:uiPriority="99" w:semiHidden="0" w:name="List Bullet 2"/>
    <w:lsdException w:qFormat="1" w:unhideWhenUsed="0" w:uiPriority="99" w:semiHidden="0" w:name="List Bullet 3"/>
    <w:lsdException w:unhideWhenUsed="0" w:uiPriority="0" w:semiHidden="0" w:name="List Bullet 4"/>
    <w:lsdException w:unhideWhenUsed="0" w:uiPriority="0" w:semiHidden="0" w:name="List Bullet 5"/>
    <w:lsdException w:qFormat="1" w:unhideWhenUsed="0" w:uiPriority="99" w:semiHidden="0" w:name="List Number 2"/>
    <w:lsdException w:qFormat="1" w:unhideWhenUsed="0" w:uiPriority="99"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unhideWhenUsed="0" w:uiPriority="0" w:semiHidden="0" w:name="Body Text Indent"/>
    <w:lsdException w:qFormat="1" w:unhideWhenUsed="0" w:uiPriority="99" w:semiHidden="0" w:name="List Continue"/>
    <w:lsdException w:qFormat="1" w:unhideWhenUsed="0" w:uiPriority="99" w:semiHidden="0" w:name="List Continue 2"/>
    <w:lsdException w:qFormat="1" w:unhideWhenUsed="0"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qFormat="1" w:unhideWhenUsed="0"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keepNext w:val="0"/>
      <w:keepLines w:val="0"/>
      <w:widowControl/>
      <w:spacing w:before="0" w:after="0" w:line="560" w:lineRule="exact"/>
      <w:ind w:firstLine="640"/>
      <w:jc w:val="both"/>
    </w:pPr>
    <w:rPr>
      <w:rFonts w:ascii="仿宋" w:hAnsi="仿宋" w:eastAsia="仿宋" w:cs="仿宋"/>
      <w:color w:val="000000"/>
      <w:sz w:val="32"/>
      <w:szCs w:val="22"/>
      <w:lang w:val="zh-CN" w:eastAsia="zh-CN" w:bidi="ar-SA"/>
    </w:rPr>
  </w:style>
  <w:style w:type="paragraph" w:styleId="3">
    <w:name w:val="heading 1"/>
    <w:basedOn w:val="1"/>
    <w:next w:val="1"/>
    <w:link w:val="138"/>
    <w:qFormat/>
    <w:uiPriority w:val="9"/>
    <w:pPr>
      <w:keepNext w:val="0"/>
      <w:keepLines w:val="0"/>
      <w:widowControl/>
      <w:spacing w:before="0" w:after="0" w:line="560" w:lineRule="exact"/>
      <w:outlineLvl w:val="0"/>
    </w:pPr>
    <w:rPr>
      <w:rFonts w:ascii="Calibri" w:hAnsi="Calibri" w:eastAsia="MS Gothic" w:cs="宋体"/>
      <w:bCs/>
      <w:color w:val="000000"/>
      <w:sz w:val="32"/>
      <w:szCs w:val="28"/>
    </w:rPr>
  </w:style>
  <w:style w:type="paragraph" w:styleId="4">
    <w:name w:val="heading 2"/>
    <w:basedOn w:val="1"/>
    <w:next w:val="1"/>
    <w:link w:val="139"/>
    <w:qFormat/>
    <w:uiPriority w:val="9"/>
    <w:pPr>
      <w:keepNext w:val="0"/>
      <w:keepLines w:val="0"/>
      <w:widowControl/>
      <w:spacing w:before="0" w:after="0" w:line="560" w:lineRule="exact"/>
      <w:outlineLvl w:val="1"/>
    </w:pPr>
    <w:rPr>
      <w:rFonts w:ascii="Calibri" w:hAnsi="Calibri" w:eastAsia="MS Gothic" w:cs="宋体"/>
      <w:bCs/>
      <w:color w:val="000000"/>
      <w:sz w:val="32"/>
      <w:szCs w:val="26"/>
    </w:rPr>
  </w:style>
  <w:style w:type="paragraph" w:styleId="5">
    <w:name w:val="heading 3"/>
    <w:basedOn w:val="1"/>
    <w:next w:val="1"/>
    <w:link w:val="140"/>
    <w:qFormat/>
    <w:uiPriority w:val="9"/>
    <w:pPr>
      <w:keepNext/>
      <w:keepLines/>
      <w:spacing w:before="200" w:after="0"/>
      <w:outlineLvl w:val="2"/>
    </w:pPr>
    <w:rPr>
      <w:rFonts w:ascii="Calibri" w:hAnsi="Calibri" w:eastAsia="MS Gothic" w:cs="宋体"/>
      <w:b/>
      <w:bCs/>
      <w:color w:val="4F81BD"/>
    </w:rPr>
  </w:style>
  <w:style w:type="paragraph" w:styleId="6">
    <w:name w:val="heading 4"/>
    <w:basedOn w:val="1"/>
    <w:next w:val="1"/>
    <w:link w:val="150"/>
    <w:qFormat/>
    <w:uiPriority w:val="9"/>
    <w:pPr>
      <w:keepNext/>
      <w:keepLines/>
      <w:spacing w:before="200" w:after="0"/>
      <w:outlineLvl w:val="3"/>
    </w:pPr>
    <w:rPr>
      <w:rFonts w:ascii="Calibri" w:hAnsi="Calibri" w:eastAsia="MS Gothic" w:cs="宋体"/>
      <w:b/>
      <w:bCs/>
      <w:i/>
      <w:iCs/>
      <w:color w:val="4F81BD"/>
    </w:rPr>
  </w:style>
  <w:style w:type="paragraph" w:styleId="7">
    <w:name w:val="heading 5"/>
    <w:basedOn w:val="1"/>
    <w:next w:val="1"/>
    <w:link w:val="151"/>
    <w:qFormat/>
    <w:uiPriority w:val="9"/>
    <w:pPr>
      <w:keepNext/>
      <w:keepLines/>
      <w:spacing w:before="200" w:after="0"/>
      <w:outlineLvl w:val="4"/>
    </w:pPr>
    <w:rPr>
      <w:rFonts w:ascii="Calibri" w:hAnsi="Calibri" w:eastAsia="MS Gothic" w:cs="宋体"/>
      <w:color w:val="254061"/>
    </w:rPr>
  </w:style>
  <w:style w:type="paragraph" w:styleId="8">
    <w:name w:val="heading 6"/>
    <w:basedOn w:val="1"/>
    <w:next w:val="1"/>
    <w:link w:val="152"/>
    <w:qFormat/>
    <w:uiPriority w:val="9"/>
    <w:pPr>
      <w:keepNext/>
      <w:keepLines/>
      <w:spacing w:before="200" w:after="0"/>
      <w:outlineLvl w:val="5"/>
    </w:pPr>
    <w:rPr>
      <w:rFonts w:ascii="Calibri" w:hAnsi="Calibri" w:eastAsia="MS Gothic" w:cs="宋体"/>
      <w:i/>
      <w:iCs/>
      <w:color w:val="254061"/>
    </w:rPr>
  </w:style>
  <w:style w:type="paragraph" w:styleId="9">
    <w:name w:val="heading 7"/>
    <w:basedOn w:val="1"/>
    <w:next w:val="1"/>
    <w:link w:val="153"/>
    <w:qFormat/>
    <w:uiPriority w:val="9"/>
    <w:pPr>
      <w:keepNext/>
      <w:keepLines/>
      <w:spacing w:before="200" w:after="0"/>
      <w:outlineLvl w:val="6"/>
    </w:pPr>
    <w:rPr>
      <w:rFonts w:ascii="Calibri" w:hAnsi="Calibri" w:eastAsia="MS Gothic" w:cs="宋体"/>
      <w:i/>
      <w:iCs/>
      <w:color w:val="3F3F3F"/>
    </w:rPr>
  </w:style>
  <w:style w:type="paragraph" w:styleId="10">
    <w:name w:val="heading 8"/>
    <w:basedOn w:val="1"/>
    <w:next w:val="1"/>
    <w:link w:val="154"/>
    <w:qFormat/>
    <w:uiPriority w:val="9"/>
    <w:pPr>
      <w:keepNext/>
      <w:keepLines/>
      <w:spacing w:before="200" w:after="0"/>
      <w:outlineLvl w:val="7"/>
    </w:pPr>
    <w:rPr>
      <w:rFonts w:ascii="Calibri" w:hAnsi="Calibri" w:eastAsia="MS Gothic" w:cs="宋体"/>
      <w:color w:val="4F81BD"/>
      <w:sz w:val="20"/>
      <w:szCs w:val="20"/>
    </w:rPr>
  </w:style>
  <w:style w:type="paragraph" w:styleId="11">
    <w:name w:val="heading 9"/>
    <w:basedOn w:val="1"/>
    <w:next w:val="1"/>
    <w:link w:val="155"/>
    <w:qFormat/>
    <w:uiPriority w:val="9"/>
    <w:pPr>
      <w:keepNext/>
      <w:keepLines/>
      <w:spacing w:before="200" w:after="0"/>
      <w:outlineLvl w:val="8"/>
    </w:pPr>
    <w:rPr>
      <w:rFonts w:ascii="Calibri" w:hAnsi="Calibri" w:eastAsia="MS Gothic" w:cs="宋体"/>
      <w:i/>
      <w:iCs/>
      <w:color w:val="3F3F3F"/>
      <w:sz w:val="20"/>
      <w:szCs w:val="20"/>
    </w:rPr>
  </w:style>
  <w:style w:type="character" w:default="1" w:styleId="132">
    <w:name w:val="Default Paragraph Font"/>
    <w:qFormat/>
    <w:uiPriority w:val="1"/>
  </w:style>
  <w:style w:type="table" w:default="1" w:styleId="32">
    <w:name w:val="Normal Table"/>
    <w:qFormat/>
    <w:uiPriority w:val="99"/>
    <w:tblPr>
      <w:tblCellMar>
        <w:top w:w="0" w:type="dxa"/>
        <w:left w:w="108" w:type="dxa"/>
        <w:bottom w:w="0" w:type="dxa"/>
        <w:right w:w="108" w:type="dxa"/>
      </w:tblCellMar>
    </w:tblPr>
  </w:style>
  <w:style w:type="paragraph" w:styleId="2">
    <w:name w:val="macro"/>
    <w:link w:val="147"/>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ＭＳ 明朝" w:cs="宋体"/>
      <w:sz w:val="20"/>
      <w:szCs w:val="20"/>
      <w:lang w:val="en-US" w:eastAsia="en-US" w:bidi="ar-SA"/>
    </w:rPr>
  </w:style>
  <w:style w:type="paragraph" w:styleId="12">
    <w:name w:val="List 3"/>
    <w:basedOn w:val="1"/>
    <w:qFormat/>
    <w:uiPriority w:val="99"/>
    <w:pPr>
      <w:ind w:left="1080" w:hanging="360"/>
      <w:contextualSpacing/>
    </w:pPr>
  </w:style>
  <w:style w:type="paragraph" w:styleId="13">
    <w:name w:val="List Number 2"/>
    <w:basedOn w:val="1"/>
    <w:qFormat/>
    <w:uiPriority w:val="99"/>
    <w:pPr>
      <w:numPr>
        <w:ilvl w:val="0"/>
        <w:numId w:val="1"/>
      </w:numPr>
      <w:contextualSpacing/>
    </w:pPr>
  </w:style>
  <w:style w:type="paragraph" w:styleId="14">
    <w:name w:val="List Number"/>
    <w:basedOn w:val="1"/>
    <w:qFormat/>
    <w:uiPriority w:val="99"/>
    <w:pPr>
      <w:numPr>
        <w:ilvl w:val="0"/>
        <w:numId w:val="2"/>
      </w:numPr>
      <w:contextualSpacing/>
    </w:pPr>
  </w:style>
  <w:style w:type="paragraph" w:styleId="15">
    <w:name w:val="caption"/>
    <w:basedOn w:val="1"/>
    <w:next w:val="1"/>
    <w:qFormat/>
    <w:uiPriority w:val="35"/>
    <w:pPr>
      <w:spacing w:line="240" w:lineRule="auto"/>
    </w:pPr>
    <w:rPr>
      <w:b/>
      <w:bCs/>
      <w:color w:val="4F81BD"/>
      <w:sz w:val="18"/>
      <w:szCs w:val="18"/>
    </w:rPr>
  </w:style>
  <w:style w:type="paragraph" w:styleId="16">
    <w:name w:val="List Bullet"/>
    <w:basedOn w:val="1"/>
    <w:qFormat/>
    <w:uiPriority w:val="99"/>
    <w:pPr>
      <w:numPr>
        <w:ilvl w:val="0"/>
        <w:numId w:val="3"/>
      </w:numPr>
      <w:contextualSpacing/>
    </w:pPr>
  </w:style>
  <w:style w:type="paragraph" w:styleId="17">
    <w:name w:val="Body Text 3"/>
    <w:basedOn w:val="1"/>
    <w:link w:val="146"/>
    <w:qFormat/>
    <w:uiPriority w:val="99"/>
    <w:pPr>
      <w:spacing w:after="120"/>
    </w:pPr>
    <w:rPr>
      <w:sz w:val="16"/>
      <w:szCs w:val="16"/>
    </w:rPr>
  </w:style>
  <w:style w:type="paragraph" w:styleId="18">
    <w:name w:val="List Bullet 3"/>
    <w:basedOn w:val="1"/>
    <w:qFormat/>
    <w:uiPriority w:val="99"/>
    <w:pPr>
      <w:numPr>
        <w:ilvl w:val="0"/>
        <w:numId w:val="4"/>
      </w:numPr>
      <w:contextualSpacing/>
    </w:pPr>
  </w:style>
  <w:style w:type="paragraph" w:styleId="19">
    <w:name w:val="Body Text"/>
    <w:basedOn w:val="1"/>
    <w:link w:val="144"/>
    <w:qFormat/>
    <w:uiPriority w:val="99"/>
    <w:pPr>
      <w:spacing w:after="120"/>
    </w:pPr>
  </w:style>
  <w:style w:type="paragraph" w:styleId="20">
    <w:name w:val="List Number 3"/>
    <w:basedOn w:val="1"/>
    <w:qFormat/>
    <w:uiPriority w:val="99"/>
    <w:pPr>
      <w:numPr>
        <w:ilvl w:val="0"/>
        <w:numId w:val="5"/>
      </w:numPr>
      <w:contextualSpacing/>
    </w:pPr>
  </w:style>
  <w:style w:type="paragraph" w:styleId="21">
    <w:name w:val="List 2"/>
    <w:basedOn w:val="1"/>
    <w:qFormat/>
    <w:uiPriority w:val="99"/>
    <w:pPr>
      <w:ind w:left="720" w:hanging="360"/>
      <w:contextualSpacing/>
    </w:pPr>
  </w:style>
  <w:style w:type="paragraph" w:styleId="22">
    <w:name w:val="List Continue"/>
    <w:basedOn w:val="1"/>
    <w:qFormat/>
    <w:uiPriority w:val="99"/>
    <w:pPr>
      <w:spacing w:after="120"/>
      <w:ind w:left="360"/>
      <w:contextualSpacing/>
    </w:pPr>
  </w:style>
  <w:style w:type="paragraph" w:styleId="23">
    <w:name w:val="List Bullet 2"/>
    <w:basedOn w:val="1"/>
    <w:qFormat/>
    <w:uiPriority w:val="99"/>
    <w:pPr>
      <w:numPr>
        <w:ilvl w:val="0"/>
        <w:numId w:val="6"/>
      </w:numPr>
      <w:contextualSpacing/>
    </w:pPr>
  </w:style>
  <w:style w:type="paragraph" w:styleId="24">
    <w:name w:val="footer"/>
    <w:basedOn w:val="1"/>
    <w:link w:val="136"/>
    <w:qFormat/>
    <w:uiPriority w:val="99"/>
    <w:pPr>
      <w:tabs>
        <w:tab w:val="center" w:pos="4680"/>
        <w:tab w:val="right" w:pos="9360"/>
      </w:tabs>
      <w:spacing w:after="0" w:line="240" w:lineRule="auto"/>
    </w:pPr>
  </w:style>
  <w:style w:type="paragraph" w:styleId="25">
    <w:name w:val="header"/>
    <w:basedOn w:val="1"/>
    <w:link w:val="135"/>
    <w:qFormat/>
    <w:uiPriority w:val="99"/>
    <w:pPr>
      <w:tabs>
        <w:tab w:val="center" w:pos="4680"/>
        <w:tab w:val="right" w:pos="9360"/>
      </w:tabs>
      <w:spacing w:after="0" w:line="240" w:lineRule="auto"/>
    </w:pPr>
  </w:style>
  <w:style w:type="paragraph" w:styleId="26">
    <w:name w:val="Subtitle"/>
    <w:basedOn w:val="1"/>
    <w:next w:val="1"/>
    <w:link w:val="142"/>
    <w:qFormat/>
    <w:uiPriority w:val="11"/>
    <w:pPr>
      <w:keepNext w:val="0"/>
      <w:keepLines w:val="0"/>
      <w:widowControl/>
      <w:spacing w:before="0" w:after="0" w:line="560" w:lineRule="exact"/>
    </w:pPr>
    <w:rPr>
      <w:rFonts w:ascii="Calibri" w:hAnsi="Calibri" w:eastAsia="MS Gothic" w:cs="宋体"/>
      <w:iCs/>
      <w:color w:val="000000"/>
      <w:spacing w:val="15"/>
      <w:sz w:val="28"/>
      <w:szCs w:val="24"/>
    </w:rPr>
  </w:style>
  <w:style w:type="paragraph" w:styleId="27">
    <w:name w:val="List"/>
    <w:basedOn w:val="1"/>
    <w:qFormat/>
    <w:uiPriority w:val="99"/>
    <w:pPr>
      <w:ind w:left="360" w:hanging="360"/>
      <w:contextualSpacing/>
    </w:pPr>
  </w:style>
  <w:style w:type="paragraph" w:styleId="28">
    <w:name w:val="Body Text 2"/>
    <w:basedOn w:val="1"/>
    <w:link w:val="145"/>
    <w:qFormat/>
    <w:uiPriority w:val="99"/>
    <w:pPr>
      <w:spacing w:after="120" w:line="480" w:lineRule="auto"/>
    </w:pPr>
  </w:style>
  <w:style w:type="paragraph" w:styleId="29">
    <w:name w:val="List Continue 2"/>
    <w:basedOn w:val="1"/>
    <w:qFormat/>
    <w:uiPriority w:val="99"/>
    <w:pPr>
      <w:spacing w:after="120"/>
      <w:ind w:left="720"/>
      <w:contextualSpacing/>
    </w:pPr>
  </w:style>
  <w:style w:type="paragraph" w:styleId="30">
    <w:name w:val="List Continue 3"/>
    <w:basedOn w:val="1"/>
    <w:qFormat/>
    <w:uiPriority w:val="99"/>
    <w:pPr>
      <w:spacing w:after="120"/>
      <w:ind w:left="1080"/>
      <w:contextualSpacing/>
    </w:pPr>
  </w:style>
  <w:style w:type="paragraph" w:styleId="31">
    <w:name w:val="Title"/>
    <w:basedOn w:val="1"/>
    <w:next w:val="1"/>
    <w:link w:val="141"/>
    <w:qFormat/>
    <w:uiPriority w:val="10"/>
    <w:pPr>
      <w:keepNext w:val="0"/>
      <w:keepLines w:val="0"/>
      <w:widowControl/>
      <w:spacing w:before="0" w:after="0" w:line="560" w:lineRule="exact"/>
      <w:contextualSpacing/>
    </w:pPr>
    <w:rPr>
      <w:rFonts w:ascii="Calibri" w:hAnsi="Calibri" w:eastAsia="MS Gothic" w:cs="宋体"/>
      <w:b/>
      <w:color w:val="000000"/>
      <w:spacing w:val="5"/>
      <w:kern w:val="28"/>
      <w:sz w:val="44"/>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bl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cPr>
    </w:tblStylePr>
    <w:tblStylePr w:type="band1Horz">
      <w:tblPr/>
      <w:tcPr>
        <w:tcBorders>
          <w:left w:val="nil"/>
          <w:right w:val="nil"/>
          <w:insideH w:val="nil"/>
          <w:insideV w:val="nil"/>
        </w:tcBorders>
        <w:shd w:val="clear" w:color="auto" w:fill="BFBFBF"/>
      </w:tcPr>
    </w:tblStylePr>
  </w:style>
  <w:style w:type="table" w:styleId="35">
    <w:name w:val="Light Shading Accent 1"/>
    <w:basedOn w:val="32"/>
    <w:qFormat/>
    <w:uiPriority w:val="60"/>
    <w:pPr>
      <w:spacing w:after="0" w:line="240" w:lineRule="auto"/>
    </w:pPr>
    <w:rPr>
      <w:color w:val="376092"/>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bl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36">
    <w:name w:val="Light Shading Accent 2"/>
    <w:basedOn w:val="32"/>
    <w:qFormat/>
    <w:uiPriority w:val="60"/>
    <w:pPr>
      <w:spacing w:after="0" w:line="240" w:lineRule="auto"/>
    </w:pPr>
    <w:rPr>
      <w:color w:val="953735"/>
    </w:rPr>
    <w:tblPr>
      <w:tblBorders>
        <w:top w:val="single" w:color="C0504D" w:sz="8" w:space="0"/>
        <w:bottom w:val="single" w:color="C0504D"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lastRow">
      <w:pPr>
        <w:spacing w:before="0" w:after="0" w:line="240" w:lineRule="auto"/>
      </w:pPr>
      <w:rPr>
        <w:b/>
        <w:bCs/>
      </w:rPr>
      <w:tblPr/>
      <w:tcPr>
        <w:tcBorders>
          <w:top w:val="single" w:color="C0504D" w:sz="8" w:space="0"/>
          <w:left w:val="nil"/>
          <w:bottom w:val="single" w:color="C0504D"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cPr>
    </w:tblStylePr>
    <w:tblStylePr w:type="band1Horz">
      <w:tblPr/>
      <w:tcPr>
        <w:tcBorders>
          <w:left w:val="nil"/>
          <w:right w:val="nil"/>
          <w:insideH w:val="nil"/>
          <w:insideV w:val="nil"/>
        </w:tcBorders>
        <w:shd w:val="clear" w:color="auto" w:fill="EFD3D3"/>
      </w:tcPr>
    </w:tblStylePr>
  </w:style>
  <w:style w:type="table" w:styleId="37">
    <w:name w:val="Light Shading Accent 3"/>
    <w:basedOn w:val="32"/>
    <w:qFormat/>
    <w:uiPriority w:val="60"/>
    <w:pPr>
      <w:spacing w:after="0" w:line="240" w:lineRule="auto"/>
    </w:pPr>
    <w:rPr>
      <w:color w:val="7793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38">
    <w:name w:val="Light Shading Accent 4"/>
    <w:basedOn w:val="32"/>
    <w:qFormat/>
    <w:uiPriority w:val="60"/>
    <w:pPr>
      <w:spacing w:after="0" w:line="240" w:lineRule="auto"/>
    </w:pPr>
    <w:rPr>
      <w:color w:val="604A7B"/>
    </w:rPr>
    <w:tblPr>
      <w:tblBorders>
        <w:top w:val="single" w:color="8064A2" w:sz="8" w:space="0"/>
        <w:bottom w:val="single" w:color="8064A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lastRow">
      <w:pPr>
        <w:spacing w:before="0" w:after="0" w:line="240" w:lineRule="auto"/>
      </w:pPr>
      <w:rPr>
        <w:b/>
        <w:bCs/>
      </w:rPr>
      <w:tblPr/>
      <w:tcPr>
        <w:tcBorders>
          <w:top w:val="single" w:color="8064A2" w:sz="8" w:space="0"/>
          <w:left w:val="nil"/>
          <w:bottom w:val="single" w:color="8064A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39">
    <w:name w:val="Light Shading Accent 5"/>
    <w:basedOn w:val="32"/>
    <w:qFormat/>
    <w:uiPriority w:val="60"/>
    <w:pPr>
      <w:spacing w:after="0" w:line="240" w:lineRule="auto"/>
    </w:pPr>
    <w:rPr>
      <w:color w:val="31859C"/>
    </w:rPr>
    <w:tblPr>
      <w:tblBorders>
        <w:top w:val="single" w:color="4BACC6" w:sz="8" w:space="0"/>
        <w:bottom w:val="single" w:color="4BACC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lastRow">
      <w:pPr>
        <w:spacing w:before="0" w:after="0" w:line="240" w:lineRule="auto"/>
      </w:pPr>
      <w:rPr>
        <w:b/>
        <w:bCs/>
      </w:rPr>
      <w:tblPr/>
      <w:tcPr>
        <w:tcBorders>
          <w:top w:val="single" w:color="4BACC6" w:sz="8" w:space="0"/>
          <w:left w:val="nil"/>
          <w:bottom w:val="single" w:color="4BACC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cPr>
    </w:tblStylePr>
    <w:tblStylePr w:type="band1Horz">
      <w:tblPr/>
      <w:tcPr>
        <w:tcBorders>
          <w:left w:val="nil"/>
          <w:right w:val="nil"/>
          <w:insideH w:val="nil"/>
          <w:insideV w:val="nil"/>
        </w:tcBorders>
        <w:shd w:val="clear" w:color="auto" w:fill="D2EAF0"/>
      </w:tcPr>
    </w:tblStylePr>
  </w:style>
  <w:style w:type="table" w:styleId="40">
    <w:name w:val="Light Shading Accent 6"/>
    <w:basedOn w:val="32"/>
    <w:qFormat/>
    <w:uiPriority w:val="60"/>
    <w:pPr>
      <w:spacing w:after="0" w:line="240" w:lineRule="auto"/>
    </w:pPr>
    <w:rPr>
      <w:color w:val="E4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cPr>
    </w:tblStylePr>
    <w:tblStylePr w:type="band1Horz">
      <w:tblPr/>
      <w:tcPr>
        <w:tcBorders>
          <w:left w:val="nil"/>
          <w:right w:val="nil"/>
          <w:insideH w:val="nil"/>
          <w:insideV w:val="nil"/>
        </w:tcBorders>
        <w:shd w:val="clear" w:color="auto" w:fill="FDE5D1"/>
      </w:tcPr>
    </w:tblStylePr>
  </w:style>
  <w:style w:type="table" w:styleId="41">
    <w:name w:val="Light List"/>
    <w:basedOn w:val="32"/>
    <w:qFormat/>
    <w:uiPriority w:val="61"/>
    <w:pPr>
      <w:spacing w:after="0" w:line="240" w:lineRule="auto"/>
    </w:p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42">
    <w:name w:val="Light List Accent 1"/>
    <w:basedOn w:val="32"/>
    <w:qFormat/>
    <w:uiPriority w:val="61"/>
    <w:pPr>
      <w:spacing w:after="0" w:line="240" w:lineRule="auto"/>
    </w:p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43">
    <w:name w:val="Light List Accent 2"/>
    <w:basedOn w:val="32"/>
    <w:qFormat/>
    <w:uiPriority w:val="61"/>
    <w:pPr>
      <w:spacing w:after="0" w:line="240" w:lineRule="auto"/>
    </w:p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44">
    <w:name w:val="Light List Accent 3"/>
    <w:basedOn w:val="32"/>
    <w:qFormat/>
    <w:uiPriority w:val="61"/>
    <w:pPr>
      <w:spacing w:after="0" w:line="240" w:lineRule="auto"/>
    </w:p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45">
    <w:name w:val="Light List Accent 4"/>
    <w:basedOn w:val="32"/>
    <w:qFormat/>
    <w:uiPriority w:val="61"/>
    <w:pPr>
      <w:spacing w:after="0" w:line="240" w:lineRule="auto"/>
    </w:pPr>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46">
    <w:name w:val="Light List Accent 5"/>
    <w:basedOn w:val="32"/>
    <w:qFormat/>
    <w:uiPriority w:val="61"/>
    <w:pPr>
      <w:spacing w:after="0" w:line="240" w:lineRule="auto"/>
    </w:p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47">
    <w:name w:val="Light List Accent 6"/>
    <w:basedOn w:val="32"/>
    <w:qFormat/>
    <w:uiPriority w:val="61"/>
    <w:pPr>
      <w:spacing w:after="0" w:line="240" w:lineRule="auto"/>
    </w:p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48">
    <w:name w:val="Light Grid"/>
    <w:basedOn w:val="32"/>
    <w:qFormat/>
    <w:uiPriority w:val="62"/>
    <w:pPr>
      <w:spacing w:after="0" w:line="240" w:lineRule="auto"/>
    </w:p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000000" w:sz="8" w:space="0"/>
          <w:left w:val="single" w:color="000000" w:sz="8" w:space="0"/>
          <w:bottom w:val="single" w:color="000000" w:sz="18" w:space="0"/>
          <w:right w:val="single" w:color="000000"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BFBFBF"/>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BFBFBF"/>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4F81BD" w:sz="8" w:space="0"/>
          <w:left w:val="single" w:color="4F81BD" w:sz="8" w:space="0"/>
          <w:bottom w:val="single" w:color="4F81BD" w:sz="18" w:space="0"/>
          <w:right w:val="single" w:color="4F81B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C0504D" w:sz="8" w:space="0"/>
          <w:left w:val="single" w:color="C0504D" w:sz="8" w:space="0"/>
          <w:bottom w:val="single" w:color="C0504D" w:sz="18" w:space="0"/>
          <w:right w:val="single" w:color="C0504D"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3"/>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3"/>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9BBB59" w:sz="8" w:space="0"/>
          <w:left w:val="single" w:color="9BBB59" w:sz="8" w:space="0"/>
          <w:bottom w:val="single" w:color="9BBB59" w:sz="18" w:space="0"/>
          <w:right w:val="single" w:color="9BBB59"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8064A2" w:sz="8" w:space="0"/>
          <w:left w:val="single" w:color="8064A2" w:sz="8" w:space="0"/>
          <w:bottom w:val="single" w:color="8064A2" w:sz="18" w:space="0"/>
          <w:right w:val="single" w:color="8064A2"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4BACC6" w:sz="8" w:space="0"/>
          <w:left w:val="single" w:color="4BACC6" w:sz="8" w:space="0"/>
          <w:bottom w:val="single" w:color="4BACC6" w:sz="18" w:space="0"/>
          <w:right w:val="single" w:color="4BACC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0"/>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0"/>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line="240" w:lineRule="auto"/>
      </w:pPr>
      <w:rPr>
        <w:rFonts w:ascii="Calibri" w:hAnsi="Calibri" w:eastAsia="MS Gothic" w:cs="宋体"/>
        <w:b/>
        <w:bCs/>
      </w:rPr>
      <w:tblPr/>
      <w:tcPr>
        <w:tcBorders>
          <w:top w:val="single" w:color="F79646" w:sz="8" w:space="0"/>
          <w:left w:val="single" w:color="F79646" w:sz="8" w:space="0"/>
          <w:bottom w:val="single" w:color="F79646" w:sz="18" w:space="0"/>
          <w:right w:val="single" w:color="F79646" w:sz="8" w:space="0"/>
          <w:insideH w:val="nil"/>
          <w:insideV w:val="single" w:sz="8" w:space="0"/>
        </w:tcBorders>
      </w:tcPr>
    </w:tblStylePr>
    <w:tblStylePr w:type="lastRow">
      <w:pPr>
        <w:spacing w:before="0" w:after="0" w:line="240" w:lineRule="auto"/>
      </w:pPr>
      <w:rPr>
        <w:rFonts w:ascii="Calibri" w:hAnsi="Calibri" w:eastAsia="MS Gothic" w:cs="宋体"/>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ascii="Calibri" w:hAnsi="Calibri" w:eastAsia="MS Gothic" w:cs="宋体"/>
        <w:b/>
        <w:bCs/>
      </w:rPr>
    </w:tblStylePr>
    <w:tblStylePr w:type="lastCol">
      <w:rPr>
        <w:rFonts w:ascii="Calibri" w:hAnsi="Calibri" w:eastAsia="MS Gothic" w:cs="宋体"/>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5D1"/>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5D1"/>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sz="8" w:space="0"/>
        <w:left w:val="single" w:color="3F3F3F" w:sz="8" w:space="0"/>
        <w:bottom w:val="single" w:color="3F3F3F" w:sz="8" w:space="0"/>
        <w:right w:val="single" w:color="3F3F3F" w:sz="8" w:space="0"/>
        <w:insideH w:val="single" w:color="3F3F3F"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3F3F3F" w:sz="8" w:space="0"/>
          <w:left w:val="single" w:color="3F3F3F" w:sz="8" w:space="0"/>
          <w:bottom w:val="single" w:color="3F3F3F" w:sz="8" w:space="0"/>
          <w:right w:val="single" w:color="3F3F3F" w:sz="8" w:space="0"/>
          <w:insideH w:val="nil"/>
          <w:insideV w:val="nil"/>
        </w:tcBorders>
        <w:shd w:val="clear" w:color="auto" w:fill="000000"/>
      </w:tcPr>
    </w:tblStylePr>
    <w:tblStylePr w:type="lastRow">
      <w:pPr>
        <w:spacing w:before="0" w:after="0" w:line="240" w:lineRule="auto"/>
      </w:pPr>
      <w:rPr>
        <w:b/>
        <w:bCs/>
      </w:rPr>
      <w:tblPr/>
      <w:tcPr>
        <w:tcBorders>
          <w:top w:val="double" w:color="3F3F3F" w:sz="6" w:space="0"/>
          <w:left w:val="single" w:color="3F3F3F" w:sz="8" w:space="0"/>
          <w:bottom w:val="single" w:color="3F3F3F" w:sz="8" w:space="0"/>
          <w:right w:val="single" w:color="3F3F3F" w:sz="8" w:space="0"/>
          <w:insideH w:val="nil"/>
          <w:insideV w:val="nil"/>
        </w:tcBorders>
      </w:tcPr>
    </w:tblStylePr>
    <w:tblStylePr w:type="firstCol">
      <w:rPr>
        <w:b/>
        <w:bCs/>
      </w:rPr>
    </w:tblStylePr>
    <w:tblStylePr w:type="lastCol">
      <w:rPr>
        <w:b/>
        <w:bCs/>
      </w:rPr>
    </w:tblStylePr>
    <w:tblStylePr w:type="band1Vert">
      <w:tblPr/>
      <w:tcPr>
        <w:shd w:val="clear" w:color="auto" w:fill="BFBFBF"/>
      </w:tcPr>
    </w:tblStylePr>
    <w:tblStylePr w:type="band1Horz">
      <w:tblPr/>
      <w:tcPr>
        <w:tcBorders>
          <w:insideH w:val="nil"/>
          <w:insideV w:val="nil"/>
        </w:tcBorders>
        <w:shd w:val="clear" w:color="auto" w:fill="BFBFB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sz="8" w:space="0"/>
        <w:left w:val="single" w:color="7BA0CD" w:sz="8" w:space="0"/>
        <w:bottom w:val="single" w:color="7BA0CD" w:sz="8" w:space="0"/>
        <w:right w:val="single" w:color="7BA0CD" w:sz="8" w:space="0"/>
        <w:insideH w:val="single" w:color="7BA0CD"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sz="8" w:space="0"/>
        <w:left w:val="single" w:color="CF7B79" w:sz="8" w:space="0"/>
        <w:bottom w:val="single" w:color="CF7B79" w:sz="8" w:space="0"/>
        <w:right w:val="single" w:color="CF7B79" w:sz="8" w:space="0"/>
        <w:insideH w:val="single" w:color="CF7B7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3"/>
      </w:tcPr>
    </w:tblStylePr>
    <w:tblStylePr w:type="band1Horz">
      <w:tblPr/>
      <w:tcPr>
        <w:tcBorders>
          <w:insideH w:val="nil"/>
          <w:insideV w:val="nil"/>
        </w:tcBorders>
        <w:shd w:val="clear" w:color="auto" w:fill="EFD3D3"/>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sz="8" w:space="0"/>
        <w:left w:val="single" w:color="B4CC82" w:sz="8" w:space="0"/>
        <w:bottom w:val="single" w:color="B4CC82" w:sz="8" w:space="0"/>
        <w:right w:val="single" w:color="B4CC82" w:sz="8" w:space="0"/>
        <w:insideH w:val="single" w:color="B4CC82"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B4CC82" w:sz="8" w:space="0"/>
          <w:left w:val="single" w:color="B4CC82" w:sz="8" w:space="0"/>
          <w:bottom w:val="single" w:color="B4CC82" w:sz="8" w:space="0"/>
          <w:right w:val="single" w:color="B4CC82" w:sz="8" w:space="0"/>
          <w:insideH w:val="nil"/>
          <w:insideV w:val="nil"/>
        </w:tcBorders>
        <w:shd w:val="clear" w:color="auto" w:fill="9BBB59"/>
      </w:tcPr>
    </w:tblStylePr>
    <w:tblStylePr w:type="lastRow">
      <w:pPr>
        <w:spacing w:before="0" w:after="0" w:line="240" w:lineRule="auto"/>
      </w:pPr>
      <w:rPr>
        <w:b/>
        <w:bCs/>
      </w:rPr>
      <w:tblPr/>
      <w:tcPr>
        <w:tcBorders>
          <w:top w:val="double" w:color="B4CC82" w:sz="6" w:space="0"/>
          <w:left w:val="single" w:color="B4CC82" w:sz="8" w:space="0"/>
          <w:bottom w:val="single" w:color="B4CC82" w:sz="8" w:space="0"/>
          <w:right w:val="single" w:color="B4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sz="8" w:space="0"/>
        <w:left w:val="single" w:color="9F8AB9" w:sz="8" w:space="0"/>
        <w:bottom w:val="single" w:color="9F8AB9" w:sz="8" w:space="0"/>
        <w:right w:val="single" w:color="9F8AB9" w:sz="8" w:space="0"/>
        <w:insideH w:val="single" w:color="9F8AB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0"/>
      </w:tcPr>
    </w:tblStylePr>
    <w:tblStylePr w:type="band1Horz">
      <w:tblPr/>
      <w:tcPr>
        <w:tcBorders>
          <w:insideH w:val="nil"/>
          <w:insideV w:val="nil"/>
        </w:tcBorders>
        <w:shd w:val="clear" w:color="auto" w:fill="D2EAF0"/>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sz="8" w:space="0"/>
        <w:left w:val="single" w:color="F9B074" w:sz="8" w:space="0"/>
        <w:bottom w:val="single" w:color="F9B074" w:sz="8" w:space="0"/>
        <w:right w:val="single" w:color="F9B074" w:sz="8" w:space="0"/>
        <w:insideH w:val="single" w:color="F9B074"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5D1"/>
      </w:tcPr>
    </w:tblStylePr>
    <w:tblStylePr w:type="band1Horz">
      <w:tblPr/>
      <w:tcPr>
        <w:tcBorders>
          <w:insideH w:val="nil"/>
          <w:insideV w:val="nil"/>
        </w:tcBorders>
        <w:shd w:val="clear" w:color="auto" w:fill="FDE5D1"/>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rPr>
    <w:tblPr>
      <w:tblBorders>
        <w:top w:val="single" w:color="000000" w:sz="8" w:space="0"/>
        <w:bottom w:val="single" w:color="000000"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000000" w:sz="8" w:space="0"/>
        </w:tcBorders>
      </w:tcPr>
    </w:tblStylePr>
    <w:tblStylePr w:type="lastRow">
      <w:rPr>
        <w:b/>
        <w:bCs/>
        <w:color w:val="1F497D"/>
      </w:rPr>
      <w:tblPr/>
      <w:tcPr>
        <w:tcBorders>
          <w:top w:val="single" w:color="000000" w:sz="8" w:space="0"/>
          <w:bottom w:val="single" w:color="000000" w:sz="8" w:space="0"/>
        </w:tcBorders>
      </w:tcPr>
    </w:tblStylePr>
    <w:tblStylePr w:type="firstCol">
      <w:rPr>
        <w:b/>
        <w:bCs/>
      </w:rPr>
    </w:tblStylePr>
    <w:tblStylePr w:type="lastCol">
      <w:rPr>
        <w:b/>
        <w:bCs/>
      </w:rPr>
      <w:tblPr/>
      <w:tcPr>
        <w:tcBorders>
          <w:top w:val="single" w:color="000000" w:sz="8" w:space="0"/>
          <w:bottom w:val="single" w:color="000000" w:sz="8" w:space="0"/>
        </w:tcBorders>
      </w:tcPr>
    </w:tblStylePr>
    <w:tblStylePr w:type="band1Vert">
      <w:tblPr/>
      <w:tcPr>
        <w:shd w:val="clear" w:color="auto" w:fill="BFBFBF"/>
      </w:tcPr>
    </w:tblStylePr>
    <w:tblStylePr w:type="band1Horz">
      <w:tblPr/>
      <w:tcPr>
        <w:shd w:val="clear" w:color="auto" w:fill="BFBFBF"/>
      </w:tcPr>
    </w:tblStylePr>
  </w:style>
  <w:style w:type="table" w:styleId="70">
    <w:name w:val="Medium List 1 Accent 1"/>
    <w:basedOn w:val="32"/>
    <w:qFormat/>
    <w:uiPriority w:val="65"/>
    <w:pPr>
      <w:spacing w:after="0" w:line="240" w:lineRule="auto"/>
    </w:pPr>
    <w:rPr>
      <w:color w:val="000000"/>
    </w:rPr>
    <w:tblPr>
      <w:tblBorders>
        <w:top w:val="single" w:color="4F81BD" w:sz="8" w:space="0"/>
        <w:bottom w:val="single" w:color="4F81BD"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4F81BD" w:sz="8" w:space="0"/>
        </w:tcBorders>
      </w:tcPr>
    </w:tblStylePr>
    <w:tblStylePr w:type="lastRow">
      <w:rPr>
        <w:b/>
        <w:bCs/>
        <w:color w:val="1F497D"/>
      </w:rPr>
      <w:tblPr/>
      <w:tcPr>
        <w:tcBorders>
          <w:top w:val="single" w:color="4F81BD" w:sz="8" w:space="0"/>
          <w:bottom w:val="single" w:color="4F81BD" w:sz="8" w:space="0"/>
        </w:tcBorders>
      </w:tcPr>
    </w:tblStylePr>
    <w:tblStylePr w:type="firstCol">
      <w:rPr>
        <w:b/>
        <w:bCs/>
      </w:rPr>
    </w:tblStylePr>
    <w:tblStylePr w:type="lastCol">
      <w:rPr>
        <w:b/>
        <w:bCs/>
      </w:rPr>
      <w:tblPr/>
      <w:tcPr>
        <w:tcBorders>
          <w:top w:val="single" w:color="4F81BD" w:sz="8" w:space="0"/>
          <w:bottom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71">
    <w:name w:val="Medium List 1 Accent 2"/>
    <w:basedOn w:val="32"/>
    <w:qFormat/>
    <w:uiPriority w:val="65"/>
    <w:pPr>
      <w:spacing w:after="0" w:line="240" w:lineRule="auto"/>
    </w:pPr>
    <w:rPr>
      <w:color w:val="000000"/>
    </w:rPr>
    <w:tblPr>
      <w:tblBorders>
        <w:top w:val="single" w:color="C0504D" w:sz="8" w:space="0"/>
        <w:bottom w:val="single" w:color="C0504D"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C0504D" w:sz="8" w:space="0"/>
        </w:tcBorders>
      </w:tcPr>
    </w:tblStylePr>
    <w:tblStylePr w:type="lastRow">
      <w:rPr>
        <w:b/>
        <w:bCs/>
        <w:color w:val="1F497D"/>
      </w:rPr>
      <w:tblPr/>
      <w:tcPr>
        <w:tcBorders>
          <w:top w:val="single" w:color="C0504D" w:sz="8" w:space="0"/>
          <w:bottom w:val="single" w:color="C0504D" w:sz="8" w:space="0"/>
        </w:tcBorders>
      </w:tcPr>
    </w:tblStylePr>
    <w:tblStylePr w:type="firstCol">
      <w:rPr>
        <w:b/>
        <w:bCs/>
      </w:rPr>
    </w:tblStylePr>
    <w:tblStylePr w:type="lastCol">
      <w:rPr>
        <w:b/>
        <w:bCs/>
      </w:rPr>
      <w:tblPr/>
      <w:tcPr>
        <w:tcBorders>
          <w:top w:val="single" w:color="C0504D" w:sz="8" w:space="0"/>
          <w:bottom w:val="single" w:color="C0504D" w:sz="8" w:space="0"/>
        </w:tcBorders>
      </w:tcPr>
    </w:tblStylePr>
    <w:tblStylePr w:type="band1Vert">
      <w:tblPr/>
      <w:tcPr>
        <w:shd w:val="clear" w:color="auto" w:fill="EFD3D3"/>
      </w:tcPr>
    </w:tblStylePr>
    <w:tblStylePr w:type="band1Horz">
      <w:tblPr/>
      <w:tcPr>
        <w:shd w:val="clear" w:color="auto" w:fill="EFD3D3"/>
      </w:tcPr>
    </w:tblStylePr>
  </w:style>
  <w:style w:type="table" w:styleId="72">
    <w:name w:val="Medium List 1 Accent 3"/>
    <w:basedOn w:val="32"/>
    <w:qFormat/>
    <w:uiPriority w:val="65"/>
    <w:pPr>
      <w:spacing w:after="0" w:line="240" w:lineRule="auto"/>
    </w:pPr>
    <w:rPr>
      <w:color w:val="000000"/>
    </w:rPr>
    <w:tblPr>
      <w:tblBorders>
        <w:top w:val="single" w:color="9BBB59" w:sz="8" w:space="0"/>
        <w:bottom w:val="single" w:color="9BBB59"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9BBB59" w:sz="8" w:space="0"/>
        </w:tcBorders>
      </w:tcPr>
    </w:tblStylePr>
    <w:tblStylePr w:type="lastRow">
      <w:rPr>
        <w:b/>
        <w:bCs/>
        <w:color w:val="1F497D"/>
      </w:rPr>
      <w:tblPr/>
      <w:tcPr>
        <w:tcBorders>
          <w:top w:val="single" w:color="9BBB59" w:sz="8" w:space="0"/>
          <w:bottom w:val="single" w:color="9BBB59" w:sz="8" w:space="0"/>
        </w:tcBorders>
      </w:tcPr>
    </w:tblStylePr>
    <w:tblStylePr w:type="firstCol">
      <w:rPr>
        <w:b/>
        <w:bCs/>
      </w:rPr>
    </w:tblStylePr>
    <w:tblStylePr w:type="lastCol">
      <w:rPr>
        <w:b/>
        <w:bCs/>
      </w:rPr>
      <w:tblPr/>
      <w:tcPr>
        <w:tcBorders>
          <w:top w:val="single" w:color="9BBB59" w:sz="8" w:space="0"/>
          <w:bottom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73">
    <w:name w:val="Medium List 1 Accent 4"/>
    <w:basedOn w:val="32"/>
    <w:qFormat/>
    <w:uiPriority w:val="65"/>
    <w:pPr>
      <w:spacing w:after="0" w:line="240" w:lineRule="auto"/>
    </w:pPr>
    <w:rPr>
      <w:color w:val="000000"/>
    </w:rPr>
    <w:tblPr>
      <w:tblBorders>
        <w:top w:val="single" w:color="8064A2" w:sz="8" w:space="0"/>
        <w:bottom w:val="single" w:color="8064A2"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8064A2" w:sz="8" w:space="0"/>
        </w:tcBorders>
      </w:tcPr>
    </w:tblStylePr>
    <w:tblStylePr w:type="lastRow">
      <w:rPr>
        <w:b/>
        <w:bCs/>
        <w:color w:val="1F497D"/>
      </w:rPr>
      <w:tblPr/>
      <w:tcPr>
        <w:tcBorders>
          <w:top w:val="single" w:color="8064A2" w:sz="8" w:space="0"/>
          <w:bottom w:val="single" w:color="8064A2" w:sz="8" w:space="0"/>
        </w:tcBorders>
      </w:tcPr>
    </w:tblStylePr>
    <w:tblStylePr w:type="firstCol">
      <w:rPr>
        <w:b/>
        <w:bCs/>
      </w:rPr>
    </w:tblStylePr>
    <w:tblStylePr w:type="lastCol">
      <w:rPr>
        <w:b/>
        <w:bCs/>
      </w:rPr>
      <w:tblPr/>
      <w:tcPr>
        <w:tcBorders>
          <w:top w:val="single" w:color="8064A2" w:sz="8" w:space="0"/>
          <w:bottom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74">
    <w:name w:val="Medium List 1 Accent 5"/>
    <w:basedOn w:val="32"/>
    <w:qFormat/>
    <w:uiPriority w:val="65"/>
    <w:pPr>
      <w:spacing w:after="0" w:line="240" w:lineRule="auto"/>
    </w:pPr>
    <w:rPr>
      <w:color w:val="000000"/>
    </w:rPr>
    <w:tblPr>
      <w:tblBorders>
        <w:top w:val="single" w:color="4BACC6" w:sz="8" w:space="0"/>
        <w:bottom w:val="single" w:color="4BACC6"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4BACC6" w:sz="8" w:space="0"/>
        </w:tcBorders>
      </w:tcPr>
    </w:tblStylePr>
    <w:tblStylePr w:type="lastRow">
      <w:rPr>
        <w:b/>
        <w:bCs/>
        <w:color w:val="1F497D"/>
      </w:rPr>
      <w:tblPr/>
      <w:tcPr>
        <w:tcBorders>
          <w:top w:val="single" w:color="4BACC6" w:sz="8" w:space="0"/>
          <w:bottom w:val="single" w:color="4BACC6" w:sz="8" w:space="0"/>
        </w:tcBorders>
      </w:tcPr>
    </w:tblStylePr>
    <w:tblStylePr w:type="firstCol">
      <w:rPr>
        <w:b/>
        <w:bCs/>
      </w:rPr>
    </w:tblStylePr>
    <w:tblStylePr w:type="lastCol">
      <w:rPr>
        <w:b/>
        <w:bCs/>
      </w:rPr>
      <w:tblPr/>
      <w:tcPr>
        <w:tcBorders>
          <w:top w:val="single" w:color="4BACC6" w:sz="8" w:space="0"/>
          <w:bottom w:val="single" w:color="4BACC6" w:sz="8" w:space="0"/>
        </w:tcBorders>
      </w:tcPr>
    </w:tblStylePr>
    <w:tblStylePr w:type="band1Vert">
      <w:tblPr/>
      <w:tcPr>
        <w:shd w:val="clear" w:color="auto" w:fill="D2EAF0"/>
      </w:tcPr>
    </w:tblStylePr>
    <w:tblStylePr w:type="band1Horz">
      <w:tblPr/>
      <w:tcPr>
        <w:shd w:val="clear" w:color="auto" w:fill="D2EAF0"/>
      </w:tcPr>
    </w:tblStylePr>
  </w:style>
  <w:style w:type="table" w:styleId="75">
    <w:name w:val="Medium List 1 Accent 6"/>
    <w:basedOn w:val="32"/>
    <w:qFormat/>
    <w:uiPriority w:val="65"/>
    <w:pPr>
      <w:spacing w:after="0" w:line="240" w:lineRule="auto"/>
    </w:pPr>
    <w:rPr>
      <w:color w:val="000000"/>
    </w:rPr>
    <w:tblPr>
      <w:tblBorders>
        <w:top w:val="single" w:color="F79646" w:sz="8" w:space="0"/>
        <w:bottom w:val="single" w:color="F79646" w:sz="8" w:space="0"/>
      </w:tblBorders>
      <w:tblCellMar>
        <w:top w:w="0" w:type="dxa"/>
        <w:left w:w="108" w:type="dxa"/>
        <w:bottom w:w="0" w:type="dxa"/>
        <w:right w:w="108" w:type="dxa"/>
      </w:tblCellMar>
    </w:tblPr>
    <w:tblStylePr w:type="firstRow">
      <w:rPr>
        <w:rFonts w:ascii="Calibri" w:hAnsi="Calibri" w:eastAsia="MS Gothic" w:cs="宋体"/>
      </w:rPr>
      <w:tblPr/>
      <w:tcPr>
        <w:tcBorders>
          <w:top w:val="nil"/>
          <w:bottom w:val="single" w:color="F79646" w:sz="8" w:space="0"/>
        </w:tcBorders>
      </w:tcPr>
    </w:tblStylePr>
    <w:tblStylePr w:type="lastRow">
      <w:rPr>
        <w:b/>
        <w:bCs/>
        <w:color w:val="1F497D"/>
      </w:rPr>
      <w:tblPr/>
      <w:tcPr>
        <w:tcBorders>
          <w:top w:val="single" w:color="F79646" w:sz="8" w:space="0"/>
          <w:bottom w:val="single" w:color="F79646" w:sz="8" w:space="0"/>
        </w:tcBorders>
      </w:tcPr>
    </w:tblStylePr>
    <w:tblStylePr w:type="firstCol">
      <w:rPr>
        <w:b/>
        <w:bCs/>
      </w:rPr>
    </w:tblStylePr>
    <w:tblStylePr w:type="lastCol">
      <w:rPr>
        <w:b/>
        <w:bCs/>
      </w:rPr>
      <w:tblPr/>
      <w:tcPr>
        <w:tcBorders>
          <w:top w:val="single" w:color="F79646" w:sz="8" w:space="0"/>
          <w:bottom w:val="single" w:color="F79646" w:sz="8" w:space="0"/>
        </w:tcBorders>
      </w:tcPr>
    </w:tblStylePr>
    <w:tblStylePr w:type="band1Vert">
      <w:tblPr/>
      <w:tcPr>
        <w:shd w:val="clear" w:color="auto" w:fill="FDE5D1"/>
      </w:tcPr>
    </w:tblStylePr>
    <w:tblStylePr w:type="band1Horz">
      <w:tblPr/>
      <w:tcPr>
        <w:shd w:val="clear" w:color="auto" w:fill="FDE5D1"/>
      </w:tcPr>
    </w:tblStylePr>
  </w:style>
  <w:style w:type="table" w:styleId="76">
    <w:name w:val="Medium List 2"/>
    <w:basedOn w:val="32"/>
    <w:qFormat/>
    <w:uiPriority w:val="66"/>
    <w:pPr>
      <w:spacing w:after="0" w:line="240" w:lineRule="auto"/>
    </w:pPr>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sz="24" w:space="0"/>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single" w:color="000000"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FBFBF"/>
      </w:tcPr>
    </w:tblStylePr>
    <w:tblStylePr w:type="band1Horz">
      <w:tblPr/>
      <w:tcPr>
        <w:tcBorders>
          <w:top w:val="nil"/>
          <w:bottom w:val="nil"/>
          <w:insideH w:val="nil"/>
          <w:insideV w:val="nil"/>
        </w:tcBorders>
        <w:shd w:val="clear" w:color="auto" w:fill="BFBFBF"/>
      </w:tcPr>
    </w:tblStylePr>
    <w:tblStylePr w:type="nwCell">
      <w:tblPr/>
      <w:tcPr>
        <w:shd w:val="clear" w:color="auto" w:fill="FFFFFF"/>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sz="24" w:space="0"/>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single" w:color="4F81B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sz="24" w:space="0"/>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single" w:color="C0504D"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3"/>
      </w:tcPr>
    </w:tblStylePr>
    <w:tblStylePr w:type="band1Horz">
      <w:tblPr/>
      <w:tcPr>
        <w:tcBorders>
          <w:top w:val="nil"/>
          <w:bottom w:val="nil"/>
          <w:insideH w:val="nil"/>
          <w:insideV w:val="nil"/>
        </w:tcBorders>
        <w:shd w:val="clear" w:color="auto" w:fill="EFD3D3"/>
      </w:tcPr>
    </w:tblStylePr>
    <w:tblStylePr w:type="nwCell">
      <w:tblPr/>
      <w:tcPr>
        <w:shd w:val="clear" w:color="auto" w:fill="FFFFFF"/>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sz="24" w:space="0"/>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single" w:color="9BBB59"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sz="24" w:space="0"/>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single" w:color="8064A2"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sz="24" w:space="0"/>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single" w:color="4BACC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0"/>
      </w:tcPr>
    </w:tblStylePr>
    <w:tblStylePr w:type="band1Horz">
      <w:tblPr/>
      <w:tcPr>
        <w:tcBorders>
          <w:top w:val="nil"/>
          <w:bottom w:val="nil"/>
          <w:insideH w:val="nil"/>
          <w:insideV w:val="nil"/>
        </w:tcBorders>
        <w:shd w:val="clear" w:color="auto" w:fill="D2EAF0"/>
      </w:tcPr>
    </w:tblStylePr>
    <w:tblStylePr w:type="nwCell">
      <w:tblPr/>
      <w:tcPr>
        <w:shd w:val="clear" w:color="auto" w:fill="FFFFFF"/>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sz="24" w:space="0"/>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single" w:color="F79646" w:sz="8" w:space="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5D1"/>
      </w:tcPr>
    </w:tblStylePr>
    <w:tblStylePr w:type="band1Horz">
      <w:tblPr/>
      <w:tcPr>
        <w:tcBorders>
          <w:top w:val="nil"/>
          <w:bottom w:val="nil"/>
          <w:insideH w:val="nil"/>
          <w:insideV w:val="nil"/>
        </w:tcBorders>
        <w:shd w:val="clear" w:color="auto" w:fill="FDE5D1"/>
      </w:tcPr>
    </w:tblStylePr>
    <w:tblStylePr w:type="nwCell">
      <w:tblPr/>
      <w:tcPr>
        <w:shd w:val="clear" w:color="auto" w:fill="FFFFFF"/>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sz="8" w:space="0"/>
        <w:left w:val="single" w:color="3F3F3F" w:sz="8" w:space="0"/>
        <w:bottom w:val="single" w:color="3F3F3F" w:sz="8" w:space="0"/>
        <w:right w:val="single" w:color="3F3F3F" w:sz="8" w:space="0"/>
        <w:insideH w:val="single" w:color="3F3F3F" w:sz="8" w:space="0"/>
        <w:insideV w:val="single" w:color="3F3F3F" w:sz="8" w:space="0"/>
      </w:tblBorders>
      <w:tblCellMar>
        <w:top w:w="0" w:type="dxa"/>
        <w:left w:w="108" w:type="dxa"/>
        <w:bottom w:w="0" w:type="dxa"/>
        <w:right w:w="108" w:type="dxa"/>
      </w:tblCellMar>
    </w:tblPr>
    <w:tcPr>
      <w:shd w:val="clear" w:color="auto" w:fill="BFBFBF"/>
    </w:tcPr>
    <w:tblStylePr w:type="firstRow">
      <w:rPr>
        <w:b/>
        <w:bCs/>
      </w:rPr>
    </w:tblStylePr>
    <w:tblStylePr w:type="lastRow">
      <w:rPr>
        <w:b/>
        <w:bCs/>
      </w:rPr>
      <w:tblPr/>
      <w:tcPr>
        <w:tcBorders>
          <w:top w:val="single" w:color="3F3F3F" w:sz="18" w:space="0"/>
        </w:tcBorders>
      </w:tcPr>
    </w:tblStylePr>
    <w:tblStylePr w:type="firstCol">
      <w:rPr>
        <w:b/>
        <w:bCs/>
      </w:rPr>
    </w:tblStylePr>
    <w:tblStylePr w:type="lastCol">
      <w:rPr>
        <w:b/>
        <w:bCs/>
      </w:rPr>
    </w:tblStylePr>
    <w:tblStylePr w:type="band1Vert">
      <w:tblPr/>
      <w:tcPr>
        <w:shd w:val="clear" w:color="auto" w:fill="7F7F7F"/>
      </w:tcPr>
    </w:tblStylePr>
    <w:tblStylePr w:type="band1Horz">
      <w:tblPr/>
      <w:tcPr>
        <w:shd w:val="clear" w:color="auto" w:fill="7F7F7F"/>
      </w:tcPr>
    </w:tblStylePr>
  </w:style>
  <w:style w:type="table" w:styleId="84">
    <w:name w:val="Medium Grid 1 Accent 1"/>
    <w:basedOn w:val="32"/>
    <w:qFormat/>
    <w:uiPriority w:val="67"/>
    <w:pPr>
      <w:spacing w:after="0" w:line="240" w:lineRule="auto"/>
    </w:pPr>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C0DE"/>
      </w:tcPr>
    </w:tblStylePr>
    <w:tblStylePr w:type="band1Horz">
      <w:tblPr/>
      <w:tcPr>
        <w:shd w:val="clear" w:color="auto" w:fill="A7C0DE"/>
      </w:tcPr>
    </w:tblStylePr>
  </w:style>
  <w:style w:type="table" w:styleId="85">
    <w:name w:val="Medium Grid 1 Accent 2"/>
    <w:basedOn w:val="32"/>
    <w:qFormat/>
    <w:uiPriority w:val="67"/>
    <w:pPr>
      <w:spacing w:after="0" w:line="240" w:lineRule="auto"/>
    </w:p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86">
    <w:name w:val="Medium Grid 1 Accent 3"/>
    <w:basedOn w:val="32"/>
    <w:qFormat/>
    <w:uiPriority w:val="67"/>
    <w:pPr>
      <w:spacing w:after="0" w:line="240" w:lineRule="auto"/>
    </w:pPr>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color="B4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87">
    <w:name w:val="Medium Grid 1 Accent 4"/>
    <w:basedOn w:val="32"/>
    <w:qFormat/>
    <w:uiPriority w:val="67"/>
    <w:pPr>
      <w:spacing w:after="0" w:line="240" w:lineRule="auto"/>
    </w:pPr>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88">
    <w:name w:val="Medium Grid 1 Accent 5"/>
    <w:basedOn w:val="32"/>
    <w:qFormat/>
    <w:uiPriority w:val="67"/>
    <w:pPr>
      <w:spacing w:after="0" w:line="240" w:lineRule="auto"/>
    </w:pPr>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CellMar>
        <w:top w:w="0" w:type="dxa"/>
        <w:left w:w="108" w:type="dxa"/>
        <w:bottom w:w="0" w:type="dxa"/>
        <w:right w:w="108" w:type="dxa"/>
      </w:tblCellMar>
    </w:tblPr>
    <w:tcPr>
      <w:shd w:val="clear" w:color="auto" w:fill="D2EAF0"/>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89">
    <w:name w:val="Medium Grid 1 Accent 6"/>
    <w:basedOn w:val="32"/>
    <w:qFormat/>
    <w:uiPriority w:val="67"/>
    <w:pPr>
      <w:spacing w:after="0" w:line="240" w:lineRule="auto"/>
    </w:pPr>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CellMar>
        <w:top w:w="0" w:type="dxa"/>
        <w:left w:w="108" w:type="dxa"/>
        <w:bottom w:w="0" w:type="dxa"/>
        <w:right w:w="108" w:type="dxa"/>
      </w:tblCellMar>
    </w:tblPr>
    <w:tcPr>
      <w:shd w:val="clear" w:color="auto" w:fill="FDE5D1"/>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90">
    <w:name w:val="Medium Grid 2"/>
    <w:basedOn w:val="32"/>
    <w:qFormat/>
    <w:uiPriority w:val="68"/>
    <w:pPr>
      <w:spacing w:after="0" w:line="240" w:lineRule="auto"/>
    </w:pPr>
    <w:rPr>
      <w:rFonts w:ascii="Calibri" w:hAnsi="Calibri" w:eastAsia="MS Gothic" w:cs="宋体"/>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
    <w:tcPr>
      <w:shd w:val="clear" w:color="auto" w:fill="BFBFBF"/>
    </w:tcPr>
    <w:tblStylePr w:type="firstRow">
      <w:rPr>
        <w:b/>
        <w:bCs/>
        <w:color w:val="000000"/>
      </w:rPr>
      <w:tblPr/>
      <w:tcPr>
        <w:shd w:val="clear" w:color="auto" w:fill="E5E5E5"/>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7F7F7F"/>
      </w:tcPr>
    </w:tblStylePr>
    <w:tblStylePr w:type="band1Horz">
      <w:tblPr/>
      <w:tcPr>
        <w:tcBorders>
          <w:insideH w:val="single" w:sz="6" w:space="0"/>
          <w:insideV w:val="single" w:sz="6" w:space="0"/>
        </w:tcBorders>
        <w:shd w:val="clear" w:color="auto" w:fill="7F7F7F"/>
      </w:tcPr>
    </w:tblStylePr>
    <w:tblStylePr w:type="nwCell">
      <w:tblPr/>
      <w:tcPr>
        <w:shd w:val="clear" w:color="auto" w:fill="FFFFFF"/>
      </w:tcPr>
    </w:tblStylePr>
  </w:style>
  <w:style w:type="table" w:styleId="91">
    <w:name w:val="Medium Grid 2 Accent 1"/>
    <w:basedOn w:val="32"/>
    <w:qFormat/>
    <w:uiPriority w:val="68"/>
    <w:pPr>
      <w:spacing w:after="0" w:line="240" w:lineRule="auto"/>
    </w:pPr>
    <w:rPr>
      <w:rFonts w:ascii="Calibri" w:hAnsi="Calibri" w:eastAsia="MS Gothic" w:cs="宋体"/>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C0DE"/>
      </w:tcPr>
    </w:tblStylePr>
    <w:tblStylePr w:type="band1Horz">
      <w:tblPr/>
      <w:tcPr>
        <w:tcBorders>
          <w:insideH w:val="single" w:sz="6" w:space="0"/>
          <w:insideV w:val="single" w:sz="6" w:space="0"/>
        </w:tcBorders>
        <w:shd w:val="clear" w:color="auto" w:fill="A7C0DE"/>
      </w:tcPr>
    </w:tblStylePr>
    <w:tblStylePr w:type="nwCell">
      <w:tblPr/>
      <w:tcPr>
        <w:shd w:val="clear" w:color="auto" w:fill="FFFFFF"/>
      </w:tcPr>
    </w:tblStylePr>
  </w:style>
  <w:style w:type="table" w:styleId="92">
    <w:name w:val="Medium Grid 2 Accent 2"/>
    <w:basedOn w:val="32"/>
    <w:qFormat/>
    <w:uiPriority w:val="68"/>
    <w:pPr>
      <w:spacing w:after="0" w:line="240" w:lineRule="auto"/>
    </w:pPr>
    <w:rPr>
      <w:rFonts w:ascii="Calibri" w:hAnsi="Calibri" w:eastAsia="MS Gothic" w:cs="宋体"/>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cPr>
      <w:shd w:val="clear" w:color="auto" w:fill="EFD3D3"/>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93">
    <w:name w:val="Medium Grid 2 Accent 3"/>
    <w:basedOn w:val="32"/>
    <w:qFormat/>
    <w:uiPriority w:val="68"/>
    <w:pPr>
      <w:spacing w:after="0" w:line="240" w:lineRule="auto"/>
    </w:pPr>
    <w:rPr>
      <w:rFonts w:ascii="Calibri" w:hAnsi="Calibri" w:eastAsia="MS Gothic" w:cs="宋体"/>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94">
    <w:name w:val="Medium Grid 2 Accent 4"/>
    <w:basedOn w:val="32"/>
    <w:qFormat/>
    <w:uiPriority w:val="68"/>
    <w:pPr>
      <w:spacing w:after="0" w:line="240" w:lineRule="auto"/>
    </w:pPr>
    <w:rPr>
      <w:rFonts w:ascii="Calibri" w:hAnsi="Calibri" w:eastAsia="MS Gothic" w:cs="宋体"/>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5"/>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95">
    <w:name w:val="Medium Grid 2 Accent 5"/>
    <w:basedOn w:val="32"/>
    <w:qFormat/>
    <w:uiPriority w:val="68"/>
    <w:pPr>
      <w:spacing w:after="0" w:line="240" w:lineRule="auto"/>
    </w:pPr>
    <w:rPr>
      <w:rFonts w:ascii="Calibri" w:hAnsi="Calibri" w:eastAsia="MS Gothic" w:cs="宋体"/>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cPr>
      <w:shd w:val="clear" w:color="auto" w:fill="D2EAF0"/>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96">
    <w:name w:val="Medium Grid 2 Accent 6"/>
    <w:basedOn w:val="32"/>
    <w:qFormat/>
    <w:uiPriority w:val="68"/>
    <w:pPr>
      <w:spacing w:after="0" w:line="240" w:lineRule="auto"/>
    </w:pPr>
    <w:rPr>
      <w:rFonts w:ascii="Calibri" w:hAnsi="Calibri" w:eastAsia="MS Gothic" w:cs="宋体"/>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cPr>
      <w:shd w:val="clear" w:color="auto" w:fill="FDE5D1"/>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97">
    <w:name w:val="Medium Grid 3"/>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BFBFBF"/>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7F7F7F"/>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7F7F7F"/>
      </w:tcPr>
    </w:tblStylePr>
  </w:style>
  <w:style w:type="table" w:styleId="98">
    <w:name w:val="Medium Grid 3 Accent 1"/>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C0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C0DE"/>
      </w:tcPr>
    </w:tblStylePr>
  </w:style>
  <w:style w:type="table" w:styleId="99">
    <w:name w:val="Medium Grid 3 Accent 2"/>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100">
    <w:name w:val="Medium Grid 3 Accent 3"/>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101">
    <w:name w:val="Medium Grid 3 Accent 4"/>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102">
    <w:name w:val="Medium Grid 3 Accent 5"/>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2EAF0"/>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103">
    <w:name w:val="Medium Grid 3 Accent 6"/>
    <w:basedOn w:val="32"/>
    <w:qFormat/>
    <w:uiPriority w:val="69"/>
    <w:pPr>
      <w:spacing w:after="0" w:line="240" w:lineRule="auto"/>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left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104">
    <w:name w:val="Dark List"/>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000000"/>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single" w:color="FFFFFF" w:sz="18" w:space="0"/>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105">
    <w:name w:val="Dark List Accent 1"/>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4F81B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1"/>
      </w:tcPr>
    </w:tblStylePr>
    <w:tblStylePr w:type="firstCol">
      <w:tblPr/>
      <w:tcPr>
        <w:tcBorders>
          <w:top w:val="nil"/>
          <w:left w:val="nil"/>
          <w:bottom w:val="nil"/>
          <w:right w:val="single" w:color="FFFFFF" w:sz="18" w:space="0"/>
          <w:insideH w:val="nil"/>
          <w:insideV w:val="nil"/>
        </w:tcBorders>
        <w:shd w:val="clear" w:color="auto" w:fill="366091"/>
      </w:tcPr>
    </w:tblStylePr>
    <w:tblStylePr w:type="lastCol">
      <w:tblPr/>
      <w:tcPr>
        <w:tcBorders>
          <w:top w:val="nil"/>
          <w:left w:val="single" w:color="FFFFFF" w:sz="18" w:space="0"/>
          <w:bottom w:val="nil"/>
          <w:right w:val="nil"/>
          <w:insideH w:val="nil"/>
          <w:insideV w:val="nil"/>
        </w:tcBorders>
        <w:shd w:val="clear" w:color="auto" w:fill="366091"/>
      </w:tcPr>
    </w:tblStylePr>
    <w:tblStylePr w:type="band1Vert">
      <w:tblPr/>
      <w:tcPr>
        <w:tcBorders>
          <w:top w:val="nil"/>
          <w:left w:val="nil"/>
          <w:bottom w:val="nil"/>
          <w:right w:val="nil"/>
          <w:insideH w:val="nil"/>
          <w:insideV w:val="nil"/>
        </w:tcBorders>
        <w:shd w:val="clear" w:color="auto" w:fill="366091"/>
      </w:tcPr>
    </w:tblStylePr>
    <w:tblStylePr w:type="band1Horz">
      <w:tblPr/>
      <w:tcPr>
        <w:tcBorders>
          <w:top w:val="nil"/>
          <w:left w:val="nil"/>
          <w:bottom w:val="nil"/>
          <w:right w:val="nil"/>
          <w:insideH w:val="nil"/>
          <w:insideV w:val="nil"/>
        </w:tcBorders>
        <w:shd w:val="clear" w:color="auto" w:fill="366091"/>
      </w:tcPr>
    </w:tblStylePr>
  </w:style>
  <w:style w:type="table" w:styleId="106">
    <w:name w:val="Dark List Accent 2"/>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C0504D"/>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734"/>
      </w:tcPr>
    </w:tblStylePr>
    <w:tblStylePr w:type="lastCol">
      <w:tblPr/>
      <w:tcPr>
        <w:tcBorders>
          <w:top w:val="nil"/>
          <w:left w:val="single" w:color="FFFFFF" w:sz="18" w:space="0"/>
          <w:bottom w:val="nil"/>
          <w:right w:val="nil"/>
          <w:insideH w:val="nil"/>
          <w:insideV w:val="nil"/>
        </w:tcBorders>
        <w:shd w:val="clear" w:color="auto" w:fill="943734"/>
      </w:tcPr>
    </w:tblStylePr>
    <w:tblStylePr w:type="band1Vert">
      <w:tblPr/>
      <w:tcPr>
        <w:tcBorders>
          <w:top w:val="nil"/>
          <w:left w:val="nil"/>
          <w:bottom w:val="nil"/>
          <w:right w:val="nil"/>
          <w:insideH w:val="nil"/>
          <w:insideV w:val="nil"/>
        </w:tcBorders>
        <w:shd w:val="clear" w:color="auto" w:fill="943734"/>
      </w:tcPr>
    </w:tblStylePr>
    <w:tblStylePr w:type="band1Horz">
      <w:tblPr/>
      <w:tcPr>
        <w:tcBorders>
          <w:top w:val="nil"/>
          <w:left w:val="nil"/>
          <w:bottom w:val="nil"/>
          <w:right w:val="nil"/>
          <w:insideH w:val="nil"/>
          <w:insideV w:val="nil"/>
        </w:tcBorders>
        <w:shd w:val="clear" w:color="auto" w:fill="943734"/>
      </w:tcPr>
    </w:tblStylePr>
  </w:style>
  <w:style w:type="table" w:styleId="107">
    <w:name w:val="Dark List Accent 3"/>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9BBB59"/>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7"/>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single" w:color="FFFFFF" w:sz="18" w:space="0"/>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108">
    <w:name w:val="Dark List Accent 4"/>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8064A2"/>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0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single" w:color="FFFFFF" w:sz="18" w:space="0"/>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109">
    <w:name w:val="Dark List Accent 5"/>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4BACC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single" w:color="FFFFFF" w:sz="18" w:space="0"/>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110">
    <w:name w:val="Dark List Accent 6"/>
    <w:basedOn w:val="32"/>
    <w:qFormat/>
    <w:uiPriority w:val="70"/>
    <w:pPr>
      <w:spacing w:after="0" w:line="240" w:lineRule="auto"/>
    </w:pPr>
    <w:rPr>
      <w:color w:val="FFFFFF"/>
    </w:rPr>
    <w:tblPr>
      <w:tblCellMar>
        <w:top w:w="0" w:type="dxa"/>
        <w:left w:w="108" w:type="dxa"/>
        <w:bottom w:w="0" w:type="dxa"/>
        <w:right w:w="108" w:type="dxa"/>
      </w:tblCellMar>
    </w:tblPr>
    <w:tcPr>
      <w:shd w:val="clear" w:color="auto" w:fill="F79646"/>
    </w:tcPr>
    <w:tblStylePr w:type="firstRow">
      <w:rPr>
        <w:b/>
        <w:bCs/>
      </w:rPr>
      <w:tblPr/>
      <w:tcPr>
        <w:tcBorders>
          <w:top w:val="nil"/>
          <w:left w:val="nil"/>
          <w:bottom w:val="single" w:color="FFFFFF" w:sz="18" w:space="0"/>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9"/>
      </w:tcPr>
    </w:tblStylePr>
    <w:tblStylePr w:type="lastCol">
      <w:tblPr/>
      <w:tcPr>
        <w:tcBorders>
          <w:top w:val="nil"/>
          <w:left w:val="single" w:color="FFFFFF" w:sz="18" w:space="0"/>
          <w:bottom w:val="nil"/>
          <w:right w:val="nil"/>
          <w:insideH w:val="nil"/>
          <w:insideV w:val="nil"/>
        </w:tcBorders>
        <w:shd w:val="clear" w:color="auto" w:fill="E36C09"/>
      </w:tcPr>
    </w:tblStylePr>
    <w:tblStylePr w:type="band1Vert">
      <w:tblPr/>
      <w:tcPr>
        <w:tcBorders>
          <w:top w:val="nil"/>
          <w:left w:val="nil"/>
          <w:bottom w:val="nil"/>
          <w:right w:val="nil"/>
          <w:insideH w:val="nil"/>
          <w:insideV w:val="nil"/>
        </w:tcBorders>
        <w:shd w:val="clear" w:color="auto" w:fill="E36C09"/>
      </w:tcPr>
    </w:tblStylePr>
    <w:tblStylePr w:type="band1Horz">
      <w:tblPr/>
      <w:tcPr>
        <w:tcBorders>
          <w:top w:val="nil"/>
          <w:left w:val="nil"/>
          <w:bottom w:val="nil"/>
          <w:right w:val="nil"/>
          <w:insideH w:val="nil"/>
          <w:insideV w:val="nil"/>
        </w:tcBorders>
        <w:shd w:val="clear" w:color="auto" w:fill="E36C09"/>
      </w:tcPr>
    </w:tblStylePr>
  </w:style>
  <w:style w:type="table" w:styleId="111">
    <w:name w:val="Colorful Shading"/>
    <w:basedOn w:val="32"/>
    <w:qFormat/>
    <w:uiPriority w:val="71"/>
    <w:pPr>
      <w:spacing w:after="0" w:line="240" w:lineRule="auto"/>
    </w:pPr>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CellMar>
        <w:top w:w="0" w:type="dxa"/>
        <w:left w:w="108" w:type="dxa"/>
        <w:bottom w:w="0" w:type="dxa"/>
        <w:right w:w="108" w:type="dxa"/>
      </w:tblCellMar>
    </w:tblPr>
    <w:tcPr>
      <w:shd w:val="clear" w:color="auto" w:fill="E5E5E5"/>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7F7F7F"/>
      </w:tcPr>
    </w:tblStylePr>
    <w:tblStylePr w:type="neCell">
      <w:rPr>
        <w:color w:val="000000"/>
      </w:rPr>
    </w:tblStylePr>
    <w:tblStylePr w:type="nwCell">
      <w:rPr>
        <w:color w:val="000000"/>
      </w:rPr>
    </w:tblStylePr>
  </w:style>
  <w:style w:type="table" w:styleId="112">
    <w:name w:val="Colorful Shading Accent 1"/>
    <w:basedOn w:val="32"/>
    <w:qFormat/>
    <w:uiPriority w:val="71"/>
    <w:pPr>
      <w:spacing w:after="0" w:line="240" w:lineRule="auto"/>
    </w:pPr>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B4D74"/>
      </w:tcPr>
    </w:tblStylePr>
    <w:tblStylePr w:type="firstCol">
      <w:rPr>
        <w:color w:val="FFFFFF"/>
      </w:rPr>
      <w:tblPr/>
      <w:tcPr>
        <w:tcBorders>
          <w:top w:val="nil"/>
          <w:left w:val="nil"/>
          <w:bottom w:val="nil"/>
          <w:right w:val="nil"/>
          <w:insideH w:val="single" w:sz="4" w:space="0"/>
          <w:insideV w:val="nil"/>
        </w:tcBorders>
        <w:shd w:val="clear" w:color="auto" w:fill="2B4D74"/>
      </w:tcPr>
    </w:tblStylePr>
    <w:tblStylePr w:type="lastCol">
      <w:rPr>
        <w:color w:val="FFFFFF"/>
      </w:rPr>
      <w:tblPr/>
      <w:tcPr>
        <w:tcBorders>
          <w:top w:val="nil"/>
          <w:left w:val="nil"/>
          <w:bottom w:val="nil"/>
          <w:right w:val="nil"/>
          <w:insideH w:val="nil"/>
          <w:insideV w:val="nil"/>
        </w:tcBorders>
        <w:shd w:val="clear" w:color="auto" w:fill="2B4D74"/>
      </w:tcPr>
    </w:tblStylePr>
    <w:tblStylePr w:type="band1Vert">
      <w:tblPr/>
      <w:tcPr>
        <w:shd w:val="clear" w:color="auto" w:fill="B8CCE4"/>
      </w:tcPr>
    </w:tblStylePr>
    <w:tblStylePr w:type="band1Horz">
      <w:tblPr/>
      <w:tcPr>
        <w:shd w:val="clear" w:color="auto" w:fill="A7C0DE"/>
      </w:tcPr>
    </w:tblStylePr>
    <w:tblStylePr w:type="neCell">
      <w:rPr>
        <w:color w:val="000000"/>
      </w:rPr>
    </w:tblStylePr>
    <w:tblStylePr w:type="nwCell">
      <w:rPr>
        <w:color w:val="000000"/>
      </w:rPr>
    </w:tblStylePr>
  </w:style>
  <w:style w:type="table" w:styleId="113">
    <w:name w:val="Colorful Shading Accent 2"/>
    <w:basedOn w:val="32"/>
    <w:qFormat/>
    <w:uiPriority w:val="71"/>
    <w:pPr>
      <w:spacing w:after="0" w:line="240" w:lineRule="auto"/>
    </w:pPr>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color="C0504D"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114">
    <w:name w:val="Colorful Shading Accent 3"/>
    <w:basedOn w:val="32"/>
    <w:qFormat/>
    <w:uiPriority w:val="71"/>
    <w:pPr>
      <w:spacing w:after="0" w:line="240" w:lineRule="auto"/>
    </w:pPr>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color="8064A2"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115">
    <w:name w:val="Colorful Shading Accent 4"/>
    <w:basedOn w:val="32"/>
    <w:qFormat/>
    <w:uiPriority w:val="71"/>
    <w:pPr>
      <w:spacing w:after="0" w:line="240" w:lineRule="auto"/>
    </w:pPr>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CellMar>
        <w:top w:w="0" w:type="dxa"/>
        <w:left w:w="108" w:type="dxa"/>
        <w:bottom w:w="0" w:type="dxa"/>
        <w:right w:w="108" w:type="dxa"/>
      </w:tblCellMar>
    </w:tblPr>
    <w:tcPr>
      <w:shd w:val="clear" w:color="auto" w:fill="F2EFF5"/>
    </w:tcPr>
    <w:tblStylePr w:type="firstRow">
      <w:rPr>
        <w:b/>
        <w:bCs/>
      </w:rPr>
      <w:tblPr/>
      <w:tcPr>
        <w:tcBorders>
          <w:top w:val="nil"/>
          <w:left w:val="nil"/>
          <w:bottom w:val="single" w:color="9BBB59"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A62"/>
      </w:tcPr>
    </w:tblStylePr>
    <w:tblStylePr w:type="firstCol">
      <w:rPr>
        <w:color w:val="FFFFFF"/>
      </w:rPr>
      <w:tblPr/>
      <w:tcPr>
        <w:tcBorders>
          <w:top w:val="nil"/>
          <w:left w:val="nil"/>
          <w:bottom w:val="nil"/>
          <w:right w:val="nil"/>
          <w:insideH w:val="single" w:sz="4" w:space="0"/>
          <w:insideV w:val="nil"/>
        </w:tcBorders>
        <w:shd w:val="clear" w:color="auto" w:fill="4C3A62"/>
      </w:tcPr>
    </w:tblStylePr>
    <w:tblStylePr w:type="lastCol">
      <w:rPr>
        <w:color w:val="FFFFFF"/>
      </w:rPr>
      <w:tblPr/>
      <w:tcPr>
        <w:tcBorders>
          <w:top w:val="nil"/>
          <w:left w:val="nil"/>
          <w:bottom w:val="nil"/>
          <w:right w:val="nil"/>
          <w:insideH w:val="nil"/>
          <w:insideV w:val="nil"/>
        </w:tcBorders>
        <w:shd w:val="clear" w:color="auto" w:fill="4C3A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116">
    <w:name w:val="Colorful Shading Accent 5"/>
    <w:basedOn w:val="32"/>
    <w:qFormat/>
    <w:uiPriority w:val="71"/>
    <w:pPr>
      <w:spacing w:after="0" w:line="240" w:lineRule="auto"/>
    </w:pPr>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color="F7964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117">
    <w:name w:val="Colorful Shading Accent 6"/>
    <w:basedOn w:val="32"/>
    <w:qFormat/>
    <w:uiPriority w:val="71"/>
    <w:pPr>
      <w:spacing w:after="0" w:line="240" w:lineRule="auto"/>
    </w:pPr>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color="4BACC6" w:sz="24" w:space="0"/>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7"/>
      </w:tcPr>
    </w:tblStylePr>
    <w:tblStylePr w:type="firstCol">
      <w:rPr>
        <w:color w:val="FFFFFF"/>
      </w:rPr>
      <w:tblPr/>
      <w:tcPr>
        <w:tcBorders>
          <w:top w:val="nil"/>
          <w:left w:val="nil"/>
          <w:bottom w:val="nil"/>
          <w:right w:val="nil"/>
          <w:insideH w:val="single" w:sz="4" w:space="0"/>
          <w:insideV w:val="nil"/>
        </w:tcBorders>
        <w:shd w:val="clear" w:color="auto" w:fill="B65607"/>
      </w:tcPr>
    </w:tblStylePr>
    <w:tblStylePr w:type="lastCol">
      <w:rPr>
        <w:color w:val="FFFFFF"/>
      </w:rPr>
      <w:tblPr/>
      <w:tcPr>
        <w:tcBorders>
          <w:top w:val="nil"/>
          <w:left w:val="nil"/>
          <w:bottom w:val="nil"/>
          <w:right w:val="nil"/>
          <w:insideH w:val="nil"/>
          <w:insideV w:val="nil"/>
        </w:tcBorders>
        <w:shd w:val="clear" w:color="auto" w:fill="B65607"/>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118">
    <w:name w:val="Colorful List"/>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5E5E5"/>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cPr>
    </w:tblStylePr>
    <w:tblStylePr w:type="band1Horz">
      <w:tblPr/>
      <w:tcPr>
        <w:shd w:val="clear" w:color="auto" w:fill="CCCCCC"/>
      </w:tcPr>
    </w:tblStylePr>
  </w:style>
  <w:style w:type="table" w:styleId="119">
    <w:name w:val="Colorful List Accent 1"/>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DF2F8"/>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120">
    <w:name w:val="Colorful List Accent 2"/>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8EDED"/>
    </w:tcPr>
    <w:tblStylePr w:type="firstRow">
      <w:rPr>
        <w:b/>
        <w:bCs/>
        <w:color w:val="FFFFFF"/>
      </w:rPr>
      <w:tblPr/>
      <w:tcPr>
        <w:tcBorders>
          <w:bottom w:val="single" w:color="FFFFFF" w:sz="12" w:space="0"/>
        </w:tcBorders>
        <w:shd w:val="clear" w:color="auto" w:fill="9E3A38"/>
      </w:tcPr>
    </w:tblStylePr>
    <w:tblStylePr w:type="lastRow">
      <w:rPr>
        <w:b/>
        <w:bCs/>
        <w:color w:val="9F3B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cPr>
    </w:tblStylePr>
    <w:tblStylePr w:type="band1Horz">
      <w:tblPr/>
      <w:tcPr>
        <w:shd w:val="clear" w:color="auto" w:fill="F2DBDB"/>
      </w:tcPr>
    </w:tblStylePr>
  </w:style>
  <w:style w:type="table" w:styleId="121">
    <w:name w:val="Colorful List Accent 3"/>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5F8EE"/>
    </w:tcPr>
    <w:tblStylePr w:type="firstRow">
      <w:rPr>
        <w:b/>
        <w:bCs/>
        <w:color w:val="FFFFFF"/>
      </w:rPr>
      <w:tblPr/>
      <w:tcPr>
        <w:tcBorders>
          <w:bottom w:val="single" w:color="FFFFFF" w:sz="12" w:space="0"/>
        </w:tcBorders>
        <w:shd w:val="clear" w:color="auto" w:fill="664E82"/>
      </w:tcPr>
    </w:tblStylePr>
    <w:tblStylePr w:type="lastRow">
      <w:rPr>
        <w:b/>
        <w:bCs/>
        <w:color w:val="664F83"/>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122">
    <w:name w:val="Colorful List Accent 4"/>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2EFF5"/>
    </w:tcPr>
    <w:tblStylePr w:type="firstRow">
      <w:rPr>
        <w:b/>
        <w:bCs/>
        <w:color w:val="FFFFFF"/>
      </w:rPr>
      <w:tblPr/>
      <w:tcPr>
        <w:tcBorders>
          <w:bottom w:val="single" w:color="FFFFFF" w:sz="12" w:space="0"/>
        </w:tcBorders>
        <w:shd w:val="clear" w:color="auto" w:fill="7E9C40"/>
      </w:tcPr>
    </w:tblStylePr>
    <w:tblStylePr w:type="lastRow">
      <w:rPr>
        <w:b/>
        <w:bCs/>
        <w:color w:val="7E9D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123">
    <w:name w:val="Colorful List Accent 5"/>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EDF6F9"/>
    </w:tcPr>
    <w:tblStylePr w:type="firstRow">
      <w:rPr>
        <w:b/>
        <w:bCs/>
        <w:color w:val="FFFFFF"/>
      </w:rPr>
      <w:tblPr/>
      <w:tcPr>
        <w:tcBorders>
          <w:bottom w:val="single" w:color="FFFFFF" w:sz="12" w:space="0"/>
        </w:tcBorders>
        <w:shd w:val="clear" w:color="auto" w:fill="F3730A"/>
      </w:tcPr>
    </w:tblStylePr>
    <w:tblStylePr w:type="lastRow">
      <w:rPr>
        <w:b/>
        <w:bCs/>
        <w:color w:val="F3740B"/>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cPr>
    </w:tblStylePr>
    <w:tblStylePr w:type="band1Horz">
      <w:tblPr/>
      <w:tcPr>
        <w:shd w:val="clear" w:color="auto" w:fill="DAEEF3"/>
      </w:tcPr>
    </w:tblStylePr>
  </w:style>
  <w:style w:type="table" w:styleId="124">
    <w:name w:val="Colorful List Accent 6"/>
    <w:basedOn w:val="32"/>
    <w:qFormat/>
    <w:uiPriority w:val="72"/>
    <w:pPr>
      <w:spacing w:after="0" w:line="240" w:lineRule="auto"/>
    </w:pPr>
    <w:rPr>
      <w:color w:val="000000"/>
    </w:rPr>
    <w:tblPr>
      <w:tblCellMar>
        <w:top w:w="0" w:type="dxa"/>
        <w:left w:w="108" w:type="dxa"/>
        <w:bottom w:w="0" w:type="dxa"/>
        <w:right w:w="108" w:type="dxa"/>
      </w:tblCellMar>
    </w:tblPr>
    <w:tcPr>
      <w:shd w:val="clear" w:color="auto" w:fill="FEF4EC"/>
    </w:tcPr>
    <w:tblStylePr w:type="firstRow">
      <w:rPr>
        <w:b/>
        <w:bCs/>
        <w:color w:val="FFFFFF"/>
      </w:rPr>
      <w:tblPr/>
      <w:tcPr>
        <w:tcBorders>
          <w:bottom w:val="single" w:color="FFFFFF" w:sz="12" w:space="0"/>
        </w:tcBorders>
        <w:shd w:val="clear" w:color="auto" w:fill="348DA5"/>
      </w:tcPr>
    </w:tblStylePr>
    <w:tblStylePr w:type="lastRow">
      <w:rPr>
        <w:b/>
        <w:bCs/>
        <w:color w:val="358EA6"/>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cPr>
    </w:tblStylePr>
    <w:tblStylePr w:type="band1Horz">
      <w:tblPr/>
      <w:tcPr>
        <w:shd w:val="clear" w:color="auto" w:fill="FDE9D9"/>
      </w:tcPr>
    </w:tblStylePr>
  </w:style>
  <w:style w:type="table" w:styleId="125">
    <w:name w:val="Colorful Grid"/>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7F7F7F"/>
      </w:tcPr>
    </w:tblStylePr>
    <w:tblStylePr w:type="band1Horz">
      <w:tblPr/>
      <w:tcPr>
        <w:shd w:val="clear" w:color="auto" w:fill="7F7F7F"/>
      </w:tcPr>
    </w:tblStylePr>
  </w:style>
  <w:style w:type="table" w:styleId="126">
    <w:name w:val="Colorful Grid Accent 1"/>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6091"/>
      </w:tcPr>
    </w:tblStylePr>
    <w:tblStylePr w:type="lastCol">
      <w:rPr>
        <w:color w:val="FFFFFF"/>
      </w:rPr>
      <w:tblPr/>
      <w:tcPr>
        <w:shd w:val="clear" w:color="auto" w:fill="366091"/>
      </w:tcPr>
    </w:tblStylePr>
    <w:tblStylePr w:type="band1Vert">
      <w:tblPr/>
      <w:tcPr>
        <w:shd w:val="clear" w:color="auto" w:fill="A7C0DE"/>
      </w:tcPr>
    </w:tblStylePr>
    <w:tblStylePr w:type="band1Horz">
      <w:tblPr/>
      <w:tcPr>
        <w:shd w:val="clear" w:color="auto" w:fill="A7C0DE"/>
      </w:tcPr>
    </w:tblStylePr>
  </w:style>
  <w:style w:type="table" w:styleId="127">
    <w:name w:val="Colorful Grid Accent 2"/>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734"/>
      </w:tcPr>
    </w:tblStylePr>
    <w:tblStylePr w:type="lastCol">
      <w:rPr>
        <w:color w:val="FFFFFF"/>
      </w:rPr>
      <w:tblPr/>
      <w:tcPr>
        <w:shd w:val="clear" w:color="auto" w:fill="943734"/>
      </w:tcPr>
    </w:tblStylePr>
    <w:tblStylePr w:type="band1Vert">
      <w:tblPr/>
      <w:tcPr>
        <w:shd w:val="clear" w:color="auto" w:fill="DFA7A6"/>
      </w:tcPr>
    </w:tblStylePr>
    <w:tblStylePr w:type="band1Horz">
      <w:tblPr/>
      <w:tcPr>
        <w:shd w:val="clear" w:color="auto" w:fill="DFA7A6"/>
      </w:tcPr>
    </w:tblStylePr>
  </w:style>
  <w:style w:type="table" w:styleId="128">
    <w:name w:val="Colorful Grid Accent 3"/>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129">
    <w:name w:val="Colorful Grid Accent 4"/>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130">
    <w:name w:val="Colorful Grid Accent 5"/>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131">
    <w:name w:val="Colorful Grid Accent 6"/>
    <w:basedOn w:val="32"/>
    <w:qFormat/>
    <w:uiPriority w:val="73"/>
    <w:pPr>
      <w:spacing w:after="0" w:line="240" w:lineRule="auto"/>
    </w:pPr>
    <w:rPr>
      <w:color w:val="000000"/>
    </w:rPr>
    <w:tblPr>
      <w:tblBorders>
        <w:insideH w:val="single" w:color="FFFFFF" w:sz="4" w:space="0"/>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9"/>
      </w:tcPr>
    </w:tblStylePr>
    <w:tblStylePr w:type="lastCol">
      <w:rPr>
        <w:color w:val="FFFFFF"/>
      </w:rPr>
      <w:tblPr/>
      <w:tcPr>
        <w:shd w:val="clear" w:color="auto" w:fill="E36C09"/>
      </w:tcPr>
    </w:tblStylePr>
    <w:tblStylePr w:type="band1Vert">
      <w:tblPr/>
      <w:tcPr>
        <w:shd w:val="clear" w:color="auto" w:fill="FBCAA2"/>
      </w:tcPr>
    </w:tblStylePr>
    <w:tblStylePr w:type="band1Horz">
      <w:tblPr/>
      <w:tcPr>
        <w:shd w:val="clear" w:color="auto" w:fill="FBCAA2"/>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_7c72f3f6-f040-4f23-9b95-ac5669052442"/>
    <w:basedOn w:val="132"/>
    <w:link w:val="25"/>
    <w:qFormat/>
    <w:uiPriority w:val="99"/>
  </w:style>
  <w:style w:type="character" w:customStyle="1" w:styleId="136">
    <w:name w:val="Footer Char_0668a620-6a35-4dba-852c-f789a1db1d12"/>
    <w:basedOn w:val="132"/>
    <w:link w:val="24"/>
    <w:qFormat/>
    <w:uiPriority w:val="99"/>
  </w:style>
  <w:style w:type="paragraph" w:styleId="137">
    <w:name w:val="No Spacing"/>
    <w:qFormat/>
    <w:uiPriority w:val="1"/>
    <w:pPr>
      <w:spacing w:after="0" w:line="240" w:lineRule="auto"/>
    </w:pPr>
    <w:rPr>
      <w:rFonts w:ascii="Cambria" w:hAnsi="Cambria" w:eastAsia="ＭＳ 明朝" w:cs="宋体"/>
      <w:sz w:val="22"/>
      <w:szCs w:val="22"/>
      <w:lang w:val="en-US" w:eastAsia="en-US" w:bidi="ar-SA"/>
    </w:rPr>
  </w:style>
  <w:style w:type="character" w:customStyle="1" w:styleId="138">
    <w:name w:val="Heading 1 Char_ab5983fe-957f-4ef3-ac9c-58571b1f6ae7"/>
    <w:basedOn w:val="132"/>
    <w:link w:val="3"/>
    <w:qFormat/>
    <w:uiPriority w:val="9"/>
    <w:rPr>
      <w:rFonts w:ascii="Calibri" w:hAnsi="Calibri" w:eastAsia="MS Gothic" w:cs="宋体"/>
      <w:b/>
      <w:bCs/>
      <w:color w:val="376092"/>
      <w:sz w:val="28"/>
      <w:szCs w:val="28"/>
    </w:rPr>
  </w:style>
  <w:style w:type="character" w:customStyle="1" w:styleId="139">
    <w:name w:val="Heading 2 Char_cdc563d6-dd44-4ba7-a909-dbae8d0feaa3"/>
    <w:basedOn w:val="132"/>
    <w:link w:val="4"/>
    <w:qFormat/>
    <w:uiPriority w:val="9"/>
    <w:rPr>
      <w:rFonts w:ascii="Calibri" w:hAnsi="Calibri" w:eastAsia="MS Gothic" w:cs="宋体"/>
      <w:b/>
      <w:bCs/>
      <w:color w:val="4F81BD"/>
      <w:sz w:val="26"/>
      <w:szCs w:val="26"/>
    </w:rPr>
  </w:style>
  <w:style w:type="character" w:customStyle="1" w:styleId="140">
    <w:name w:val="Heading 3 Char_3a69573c-9106-4bc7-9aea-4eb571abfd94"/>
    <w:basedOn w:val="132"/>
    <w:link w:val="5"/>
    <w:qFormat/>
    <w:uiPriority w:val="9"/>
    <w:rPr>
      <w:rFonts w:ascii="Calibri" w:hAnsi="Calibri" w:eastAsia="MS Gothic" w:cs="宋体"/>
      <w:b/>
      <w:bCs/>
      <w:color w:val="4F81BD"/>
    </w:rPr>
  </w:style>
  <w:style w:type="character" w:customStyle="1" w:styleId="141">
    <w:name w:val="Title Char_7390a65b-dfb5-41a3-af88-25c73dc9433c"/>
    <w:basedOn w:val="132"/>
    <w:link w:val="31"/>
    <w:qFormat/>
    <w:uiPriority w:val="10"/>
    <w:rPr>
      <w:rFonts w:ascii="Calibri" w:hAnsi="Calibri" w:eastAsia="MS Gothic" w:cs="宋体"/>
      <w:color w:val="17375E"/>
      <w:spacing w:val="5"/>
      <w:kern w:val="28"/>
      <w:sz w:val="52"/>
      <w:szCs w:val="52"/>
    </w:rPr>
  </w:style>
  <w:style w:type="character" w:customStyle="1" w:styleId="142">
    <w:name w:val="Subtitle Char"/>
    <w:basedOn w:val="132"/>
    <w:link w:val="26"/>
    <w:qFormat/>
    <w:uiPriority w:val="11"/>
    <w:rPr>
      <w:rFonts w:ascii="Calibri" w:hAnsi="Calibri" w:eastAsia="MS Gothic" w:cs="宋体"/>
      <w:i/>
      <w:iCs/>
      <w:color w:val="4F81BD"/>
      <w:spacing w:val="15"/>
      <w:sz w:val="24"/>
      <w:szCs w:val="24"/>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rPr>
  </w:style>
  <w:style w:type="character" w:customStyle="1" w:styleId="149">
    <w:name w:val="Quote Char_a68e37c2-b8d3-45fa-8007-aa13718be6ff"/>
    <w:basedOn w:val="132"/>
    <w:link w:val="148"/>
    <w:qFormat/>
    <w:uiPriority w:val="29"/>
    <w:rPr>
      <w:i/>
      <w:iCs/>
      <w:color w:val="000000"/>
    </w:rPr>
  </w:style>
  <w:style w:type="character" w:customStyle="1" w:styleId="150">
    <w:name w:val="Heading 4 Char_425c7c52-0254-4ea8-a854-71641224fa33"/>
    <w:basedOn w:val="132"/>
    <w:link w:val="6"/>
    <w:qFormat/>
    <w:uiPriority w:val="9"/>
    <w:rPr>
      <w:rFonts w:ascii="Calibri" w:hAnsi="Calibri" w:eastAsia="MS Gothic" w:cs="宋体"/>
      <w:b/>
      <w:bCs/>
      <w:i/>
      <w:iCs/>
      <w:color w:val="4F81BD"/>
    </w:rPr>
  </w:style>
  <w:style w:type="character" w:customStyle="1" w:styleId="151">
    <w:name w:val="Heading 5 Char_4165b736-284e-4462-a153-67b31260f976"/>
    <w:basedOn w:val="132"/>
    <w:link w:val="7"/>
    <w:qFormat/>
    <w:uiPriority w:val="9"/>
    <w:rPr>
      <w:rFonts w:ascii="Calibri" w:hAnsi="Calibri" w:eastAsia="MS Gothic" w:cs="宋体"/>
      <w:color w:val="254061"/>
    </w:rPr>
  </w:style>
  <w:style w:type="character" w:customStyle="1" w:styleId="152">
    <w:name w:val="Heading 6 Char_95be09cd-75b9-4f2c-ac5d-46672d087510"/>
    <w:basedOn w:val="132"/>
    <w:link w:val="8"/>
    <w:qFormat/>
    <w:uiPriority w:val="9"/>
    <w:rPr>
      <w:rFonts w:ascii="Calibri" w:hAnsi="Calibri" w:eastAsia="MS Gothic" w:cs="宋体"/>
      <w:i/>
      <w:iCs/>
      <w:color w:val="254061"/>
    </w:rPr>
  </w:style>
  <w:style w:type="character" w:customStyle="1" w:styleId="153">
    <w:name w:val="Heading 7 Char_a2645e9e-04af-435a-b730-7ca16ac13313"/>
    <w:basedOn w:val="132"/>
    <w:link w:val="9"/>
    <w:qFormat/>
    <w:uiPriority w:val="9"/>
    <w:rPr>
      <w:rFonts w:ascii="Calibri" w:hAnsi="Calibri" w:eastAsia="MS Gothic" w:cs="宋体"/>
      <w:i/>
      <w:iCs/>
      <w:color w:val="3F3F3F"/>
    </w:rPr>
  </w:style>
  <w:style w:type="character" w:customStyle="1" w:styleId="154">
    <w:name w:val="Heading 8 Char_1b46f562-3dc1-44e3-b0ec-e878bc3f77db"/>
    <w:basedOn w:val="132"/>
    <w:link w:val="10"/>
    <w:qFormat/>
    <w:uiPriority w:val="9"/>
    <w:rPr>
      <w:rFonts w:ascii="Calibri" w:hAnsi="Calibri" w:eastAsia="MS Gothic" w:cs="宋体"/>
      <w:color w:val="4F81BD"/>
      <w:sz w:val="20"/>
      <w:szCs w:val="20"/>
    </w:rPr>
  </w:style>
  <w:style w:type="character" w:customStyle="1" w:styleId="155">
    <w:name w:val="Heading 9 Char_20441ffc-167c-4d0b-81f3-8dbb2fa44173"/>
    <w:basedOn w:val="132"/>
    <w:link w:val="11"/>
    <w:qFormat/>
    <w:uiPriority w:val="9"/>
    <w:rPr>
      <w:rFonts w:ascii="Calibri" w:hAnsi="Calibri" w:eastAsia="MS Gothic" w:cs="宋体"/>
      <w:i/>
      <w:iCs/>
      <w:color w:val="3F3F3F"/>
      <w:sz w:val="20"/>
      <w:szCs w:val="20"/>
    </w:rPr>
  </w:style>
  <w:style w:type="paragraph" w:styleId="156">
    <w:name w:val="Intense Quote"/>
    <w:basedOn w:val="1"/>
    <w:next w:val="1"/>
    <w:link w:val="157"/>
    <w:qFormat/>
    <w:uiPriority w:val="30"/>
    <w:pPr>
      <w:pBdr>
        <w:bottom w:val="single" w:color="4F81BD" w:sz="4" w:space="4"/>
      </w:pBdr>
      <w:spacing w:before="200" w:after="280"/>
      <w:ind w:left="936" w:right="936"/>
    </w:pPr>
    <w:rPr>
      <w:b/>
      <w:bCs/>
      <w:i/>
      <w:iCs/>
      <w:color w:val="4F81BD"/>
    </w:rPr>
  </w:style>
  <w:style w:type="character" w:customStyle="1" w:styleId="157">
    <w:name w:val="Intense Quote Char_aae41d2a-cca5-4725-b774-1028b6cfabe1"/>
    <w:basedOn w:val="132"/>
    <w:link w:val="156"/>
    <w:qFormat/>
    <w:uiPriority w:val="30"/>
    <w:rPr>
      <w:b/>
      <w:bCs/>
      <w:i/>
      <w:iCs/>
      <w:color w:val="4F81BD"/>
    </w:rPr>
  </w:style>
  <w:style w:type="character" w:customStyle="1" w:styleId="158">
    <w:name w:val="Subtle Emphasis_9a75b951-66c7-4621-8c0a-55bbb9c54ef8"/>
    <w:basedOn w:val="132"/>
    <w:qFormat/>
    <w:uiPriority w:val="19"/>
    <w:rPr>
      <w:i/>
      <w:iCs/>
      <w:color w:val="7F7F7F"/>
    </w:rPr>
  </w:style>
  <w:style w:type="character" w:customStyle="1" w:styleId="159">
    <w:name w:val="Intense Emphasis_76a14743-afd2-4227-bbcd-7826f19d6b93"/>
    <w:basedOn w:val="132"/>
    <w:qFormat/>
    <w:uiPriority w:val="21"/>
    <w:rPr>
      <w:b/>
      <w:bCs/>
      <w:i/>
      <w:iCs/>
      <w:color w:val="4F81BD"/>
    </w:rPr>
  </w:style>
  <w:style w:type="character" w:customStyle="1" w:styleId="160">
    <w:name w:val="Subtle Reference_abd55939-02fa-47e8-b507-74ab09b1472b"/>
    <w:basedOn w:val="132"/>
    <w:qFormat/>
    <w:uiPriority w:val="31"/>
    <w:rPr>
      <w:smallCaps/>
      <w:color w:val="C0504D"/>
      <w:u w:val="single"/>
    </w:rPr>
  </w:style>
  <w:style w:type="character" w:customStyle="1" w:styleId="161">
    <w:name w:val="Intense Reference_332b1cb9-1970-4271-aa90-a24fd098e2eb"/>
    <w:basedOn w:val="132"/>
    <w:qFormat/>
    <w:uiPriority w:val="32"/>
    <w:rPr>
      <w:b/>
      <w:bCs/>
      <w:smallCaps/>
      <w:color w:val="C0504D"/>
      <w:spacing w:val="5"/>
      <w:u w:val="single"/>
    </w:rPr>
  </w:style>
  <w:style w:type="character" w:customStyle="1" w:styleId="162">
    <w:name w:val="Book Title_abfc31ef-31b2-431e-b429-97d0c59930d8"/>
    <w:basedOn w:val="132"/>
    <w:qFormat/>
    <w:uiPriority w:val="33"/>
    <w:rPr>
      <w:b/>
      <w:bCs/>
      <w:smallCaps/>
      <w:spacing w:val="5"/>
    </w:rPr>
  </w:style>
  <w:style w:type="paragraph" w:customStyle="1" w:styleId="163">
    <w:name w:val="TOC Heading_fc0bbde5-f4f6-4c39-a9ef-118ac0152657"/>
    <w:basedOn w:val="3"/>
    <w:next w:val="1"/>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2844</Words>
  <Characters>2849</Characters>
  <Paragraphs>51</Paragraphs>
  <TotalTime>31</TotalTime>
  <ScaleCrop>false</ScaleCrop>
  <LinksUpToDate>false</LinksUpToDate>
  <CharactersWithSpaces>2918</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2026-10-16T07:35:00Z</dcterms:created>
  <dc:creator>陈萌颖</dc:creator>
  <cp:lastModifiedBy>kukumalu</cp:lastModifiedBy>
  <dcterms:modified xsi:type="dcterms:W3CDTF">2026-10-19T12:13:02Z</dcterms:modified>
  <dc:subject>送审稿</dc:subject>
  <dc:title>东南大学集成电路“锡芯”专项奖助学金评审办法（试行）</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eyJoZGlkIjoiMGJlYWQwM2M2NWJmYjMyNDg1MjA5NTFkMTk1M2NlMDkiLCJ1c2VySWQiOiI2ODU4NTAyNjYifQ==</vt:lpwstr>
  </property>
  <property fmtid="{D5CDD505-2E9C-101B-9397-08002B2CF9AE}" pid="3" name="KSOProductBuildVer">
    <vt:lpwstr>2052-12.1.0.28802</vt:lpwstr>
  </property>
  <property fmtid="{D5CDD505-2E9C-101B-9397-08002B2CF9AE}" pid="4" name="ICV">
    <vt:lpwstr>E0AD6361F69945AC805C796E5E837775_13</vt:lpwstr>
  </property>
</Properties>
</file>